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4B77F3">
      <w:pPr>
        <w:spacing w:line="300" w:lineRule="auto"/>
        <w:rPr>
          <w:rFonts w:ascii="黑体" w:hAnsi="黑体" w:eastAsia="黑体" w:cs="黑体"/>
          <w:sz w:val="32"/>
          <w:szCs w:val="32"/>
        </w:rPr>
      </w:pPr>
    </w:p>
    <w:p w14:paraId="3F51FCA2">
      <w:pPr>
        <w:jc w:val="center"/>
        <w:rPr>
          <w:rFonts w:ascii="黑体" w:eastAsia="黑体"/>
          <w:color w:val="000000"/>
          <w:sz w:val="32"/>
          <w:szCs w:val="32"/>
        </w:rPr>
      </w:pPr>
      <w:r>
        <w:rPr>
          <w:rFonts w:hint="eastAsia" w:ascii="黑体" w:eastAsia="黑体"/>
          <w:color w:val="000000"/>
          <w:sz w:val="32"/>
          <w:szCs w:val="32"/>
        </w:rPr>
        <w:t>广东省地方标准征求意见汇总处理表</w:t>
      </w:r>
    </w:p>
    <w:p w14:paraId="09803B2D">
      <w:pPr>
        <w:ind w:left="972" w:hanging="972" w:hangingChars="405"/>
        <w:rPr>
          <w:color w:val="000000"/>
          <w:sz w:val="24"/>
        </w:rPr>
      </w:pPr>
      <w:r>
        <w:rPr>
          <w:rFonts w:hint="eastAsia" w:ascii="仿宋" w:hAnsi="仿宋" w:eastAsia="仿宋"/>
          <w:color w:val="000000"/>
          <w:sz w:val="24"/>
        </w:rPr>
        <w:t>标准项目名称</w:t>
      </w:r>
      <w:r>
        <w:rPr>
          <w:rFonts w:hint="eastAsia"/>
          <w:color w:val="000000"/>
          <w:sz w:val="24"/>
        </w:rPr>
        <w:t xml:space="preserve">：骨质疏松高风险人群中医健康管理指南                                                       </w:t>
      </w:r>
    </w:p>
    <w:p w14:paraId="24C0FF4F">
      <w:pPr>
        <w:ind w:left="972" w:hanging="972" w:hangingChars="405"/>
        <w:rPr>
          <w:color w:val="000000"/>
          <w:sz w:val="24"/>
        </w:rPr>
      </w:pPr>
      <w:r>
        <w:rPr>
          <w:rFonts w:hint="eastAsia" w:ascii="仿宋" w:hAnsi="仿宋" w:eastAsia="仿宋"/>
          <w:color w:val="000000"/>
          <w:sz w:val="24"/>
        </w:rPr>
        <w:t>征求意见日期</w:t>
      </w:r>
      <w:r>
        <w:rPr>
          <w:rFonts w:hint="eastAsia"/>
          <w:color w:val="000000"/>
          <w:sz w:val="24"/>
        </w:rPr>
        <w:t>：</w:t>
      </w:r>
      <w:r>
        <w:rPr>
          <w:rFonts w:hint="eastAsia" w:ascii="宋体" w:hAnsi="宋体" w:eastAsia="宋体" w:cs="宋体"/>
          <w:color w:val="000000"/>
          <w:sz w:val="24"/>
          <w:u w:val="single"/>
          <w:lang w:val="en-US" w:eastAsia="zh-CN"/>
        </w:rPr>
        <w:t xml:space="preserve"> 2025 </w:t>
      </w:r>
      <w:r>
        <w:rPr>
          <w:rFonts w:hint="eastAsia" w:ascii="宋体" w:hAnsi="宋体" w:eastAsia="宋体" w:cs="宋体"/>
          <w:color w:val="000000"/>
          <w:sz w:val="24"/>
        </w:rPr>
        <w:t>年</w:t>
      </w:r>
      <w:r>
        <w:rPr>
          <w:rFonts w:hint="eastAsia" w:ascii="宋体" w:hAnsi="宋体" w:eastAsia="宋体" w:cs="宋体"/>
          <w:color w:val="000000"/>
          <w:sz w:val="24"/>
          <w:u w:val="single"/>
          <w:lang w:val="en-US" w:eastAsia="zh-CN"/>
        </w:rPr>
        <w:t xml:space="preserve">  2  </w:t>
      </w:r>
      <w:r>
        <w:rPr>
          <w:rFonts w:hint="eastAsia" w:ascii="宋体" w:hAnsi="宋体" w:eastAsia="宋体" w:cs="宋体"/>
          <w:color w:val="000000"/>
          <w:sz w:val="24"/>
        </w:rPr>
        <w:t>月</w:t>
      </w:r>
      <w:r>
        <w:rPr>
          <w:rFonts w:hint="eastAsia" w:ascii="宋体" w:hAnsi="宋体" w:eastAsia="宋体" w:cs="宋体"/>
          <w:color w:val="000000"/>
          <w:sz w:val="24"/>
          <w:u w:val="single"/>
          <w:lang w:val="en-US" w:eastAsia="zh-CN"/>
        </w:rPr>
        <w:t xml:space="preserve">  20  </w:t>
      </w:r>
      <w:r>
        <w:rPr>
          <w:rFonts w:hint="eastAsia" w:ascii="宋体" w:hAnsi="宋体" w:eastAsia="宋体" w:cs="宋体"/>
          <w:color w:val="000000"/>
          <w:sz w:val="24"/>
        </w:rPr>
        <w:t>日</w:t>
      </w:r>
      <w:r>
        <w:rPr>
          <w:rFonts w:hint="eastAsia" w:ascii="宋体" w:hAnsi="宋体" w:eastAsia="宋体" w:cs="宋体"/>
          <w:color w:val="000000"/>
          <w:sz w:val="24"/>
          <w:lang w:val="en-US" w:eastAsia="zh-CN"/>
        </w:rPr>
        <w:t xml:space="preserve"> </w:t>
      </w:r>
      <w:r>
        <w:rPr>
          <w:rFonts w:hint="eastAsia"/>
          <w:color w:val="000000"/>
          <w:sz w:val="24"/>
        </w:rPr>
        <w:t>至</w:t>
      </w:r>
      <w:r>
        <w:rPr>
          <w:rFonts w:hint="eastAsia"/>
          <w:color w:val="000000"/>
          <w:sz w:val="24"/>
          <w:lang w:val="en-US" w:eastAsia="zh-CN"/>
        </w:rPr>
        <w:t xml:space="preserve"> </w:t>
      </w:r>
      <w:r>
        <w:rPr>
          <w:rFonts w:hint="eastAsia" w:ascii="宋体" w:hAnsi="宋体" w:eastAsia="宋体" w:cs="宋体"/>
          <w:color w:val="000000"/>
          <w:sz w:val="24"/>
          <w:u w:val="single"/>
          <w:lang w:val="en-US" w:eastAsia="zh-CN"/>
        </w:rPr>
        <w:t xml:space="preserve"> 2025 </w:t>
      </w:r>
      <w:r>
        <w:rPr>
          <w:rFonts w:hint="eastAsia" w:ascii="宋体" w:hAnsi="宋体" w:eastAsia="宋体" w:cs="宋体"/>
          <w:color w:val="000000"/>
          <w:sz w:val="24"/>
        </w:rPr>
        <w:t>年</w:t>
      </w:r>
      <w:r>
        <w:rPr>
          <w:rFonts w:hint="eastAsia" w:ascii="宋体" w:hAnsi="宋体" w:eastAsia="宋体" w:cs="宋体"/>
          <w:color w:val="000000"/>
          <w:sz w:val="24"/>
          <w:u w:val="single"/>
          <w:lang w:val="en-US" w:eastAsia="zh-CN"/>
        </w:rPr>
        <w:t xml:space="preserve">  3  </w:t>
      </w:r>
      <w:r>
        <w:rPr>
          <w:rFonts w:hint="eastAsia" w:ascii="宋体" w:hAnsi="宋体" w:eastAsia="宋体" w:cs="宋体"/>
          <w:color w:val="000000"/>
          <w:sz w:val="24"/>
        </w:rPr>
        <w:t>月</w:t>
      </w:r>
      <w:r>
        <w:rPr>
          <w:rFonts w:hint="eastAsia" w:ascii="宋体" w:hAnsi="宋体" w:eastAsia="宋体" w:cs="宋体"/>
          <w:color w:val="000000"/>
          <w:sz w:val="24"/>
          <w:u w:val="single"/>
          <w:lang w:val="en-US" w:eastAsia="zh-CN"/>
        </w:rPr>
        <w:t xml:space="preserve">  25  </w:t>
      </w:r>
      <w:r>
        <w:rPr>
          <w:rFonts w:hint="eastAsia" w:ascii="宋体" w:hAnsi="宋体" w:eastAsia="宋体" w:cs="宋体"/>
          <w:color w:val="000000"/>
          <w:sz w:val="24"/>
        </w:rPr>
        <w:t>日</w:t>
      </w:r>
    </w:p>
    <w:p w14:paraId="670993A0">
      <w:pPr>
        <w:ind w:firstLine="480" w:firstLineChars="200"/>
        <w:rPr>
          <w:rFonts w:hint="eastAsia" w:ascii="宋体" w:hAnsi="宋体" w:eastAsia="宋体" w:cs="宋体"/>
          <w:color w:val="000000"/>
          <w:sz w:val="24"/>
        </w:rPr>
      </w:pPr>
      <w:r>
        <w:rPr>
          <w:rFonts w:hint="eastAsia" w:ascii="仿宋" w:hAnsi="仿宋" w:eastAsia="仿宋"/>
          <w:color w:val="000000"/>
          <w:sz w:val="24"/>
        </w:rPr>
        <w:t>填写日期</w:t>
      </w:r>
      <w:r>
        <w:rPr>
          <w:rFonts w:hint="eastAsia"/>
          <w:color w:val="000000"/>
          <w:sz w:val="24"/>
        </w:rPr>
        <w:t>：</w:t>
      </w:r>
      <w:r>
        <w:rPr>
          <w:rFonts w:hint="eastAsia" w:ascii="宋体" w:hAnsi="宋体" w:eastAsia="宋体" w:cs="宋体"/>
          <w:color w:val="000000"/>
          <w:sz w:val="24"/>
          <w:u w:val="single"/>
          <w:lang w:val="en-US" w:eastAsia="zh-CN"/>
        </w:rPr>
        <w:t xml:space="preserve"> 2025 </w:t>
      </w:r>
      <w:r>
        <w:rPr>
          <w:rFonts w:hint="eastAsia" w:ascii="宋体" w:hAnsi="宋体" w:eastAsia="宋体" w:cs="宋体"/>
          <w:color w:val="000000"/>
          <w:sz w:val="24"/>
        </w:rPr>
        <w:t>年</w:t>
      </w:r>
      <w:r>
        <w:rPr>
          <w:rFonts w:hint="eastAsia" w:ascii="宋体" w:hAnsi="宋体" w:eastAsia="宋体" w:cs="宋体"/>
          <w:color w:val="000000"/>
          <w:sz w:val="24"/>
          <w:u w:val="single"/>
          <w:lang w:val="en-US" w:eastAsia="zh-CN"/>
        </w:rPr>
        <w:t xml:space="preserve">  3  </w:t>
      </w:r>
      <w:r>
        <w:rPr>
          <w:rFonts w:hint="eastAsia" w:ascii="宋体" w:hAnsi="宋体" w:eastAsia="宋体" w:cs="宋体"/>
          <w:color w:val="000000"/>
          <w:sz w:val="24"/>
        </w:rPr>
        <w:t>月</w:t>
      </w:r>
      <w:r>
        <w:rPr>
          <w:rFonts w:hint="eastAsia" w:ascii="宋体" w:hAnsi="宋体" w:eastAsia="宋体" w:cs="宋体"/>
          <w:color w:val="000000"/>
          <w:sz w:val="24"/>
          <w:u w:val="single"/>
          <w:lang w:val="en-US" w:eastAsia="zh-CN"/>
        </w:rPr>
        <w:t xml:space="preserve">  26  </w:t>
      </w:r>
      <w:r>
        <w:rPr>
          <w:rFonts w:hint="eastAsia" w:ascii="宋体" w:hAnsi="宋体" w:eastAsia="宋体" w:cs="宋体"/>
          <w:color w:val="000000"/>
          <w:sz w:val="24"/>
        </w:rPr>
        <w:t>日</w:t>
      </w:r>
    </w:p>
    <w:p w14:paraId="7A487981">
      <w:pPr>
        <w:rPr>
          <w:color w:val="000000"/>
          <w:sz w:val="24"/>
        </w:rPr>
      </w:pPr>
      <w:r>
        <w:rPr>
          <w:rFonts w:hint="eastAsia" w:ascii="仿宋" w:hAnsi="仿宋" w:eastAsia="仿宋"/>
          <w:color w:val="000000"/>
          <w:sz w:val="24"/>
        </w:rPr>
        <w:t>说明</w:t>
      </w:r>
      <w:r>
        <w:rPr>
          <w:rFonts w:hint="eastAsia"/>
          <w:color w:val="000000"/>
          <w:sz w:val="24"/>
        </w:rPr>
        <w:t>：</w:t>
      </w:r>
    </w:p>
    <w:p w14:paraId="5E1A81A3">
      <w:pPr>
        <w:ind w:firstLine="720" w:firstLineChars="300"/>
        <w:rPr>
          <w:rFonts w:hint="eastAsia" w:ascii="宋体" w:hAnsi="宋体" w:eastAsia="宋体" w:cs="宋体"/>
          <w:color w:val="000000"/>
          <w:sz w:val="24"/>
        </w:rPr>
      </w:pPr>
      <w:r>
        <w:rPr>
          <w:rFonts w:hint="eastAsia" w:ascii="宋体" w:hAnsi="宋体" w:eastAsia="宋体" w:cs="宋体"/>
          <w:color w:val="000000"/>
          <w:sz w:val="24"/>
        </w:rPr>
        <w:t>（1） 发送《征求意见稿》单位数：</w:t>
      </w:r>
      <w:r>
        <w:rPr>
          <w:rFonts w:hint="eastAsia" w:ascii="宋体" w:hAnsi="宋体" w:eastAsia="宋体" w:cs="宋体"/>
          <w:color w:val="000000"/>
          <w:sz w:val="24"/>
          <w:lang w:val="en-US" w:eastAsia="zh-CN"/>
        </w:rPr>
        <w:t>36</w:t>
      </w:r>
      <w:r>
        <w:rPr>
          <w:rFonts w:hint="eastAsia" w:ascii="宋体" w:hAnsi="宋体" w:eastAsia="宋体" w:cs="宋体"/>
          <w:color w:val="000000"/>
          <w:sz w:val="24"/>
        </w:rPr>
        <w:t>个。</w:t>
      </w:r>
    </w:p>
    <w:p w14:paraId="715E4A54">
      <w:pPr>
        <w:ind w:firstLine="720" w:firstLineChars="300"/>
        <w:rPr>
          <w:rFonts w:hint="eastAsia" w:ascii="宋体" w:hAnsi="宋体" w:eastAsia="宋体" w:cs="宋体"/>
          <w:color w:val="000000"/>
          <w:sz w:val="24"/>
        </w:rPr>
      </w:pPr>
      <w:r>
        <w:rPr>
          <w:rFonts w:hint="eastAsia" w:ascii="宋体" w:hAnsi="宋体" w:eastAsia="宋体" w:cs="宋体"/>
          <w:color w:val="000000"/>
          <w:sz w:val="24"/>
        </w:rPr>
        <w:t>（2） 收到《征求意见稿》后回函的单位数：</w:t>
      </w:r>
      <w:r>
        <w:rPr>
          <w:rFonts w:hint="eastAsia" w:ascii="宋体" w:hAnsi="宋体" w:eastAsia="宋体" w:cs="宋体"/>
          <w:color w:val="000000"/>
          <w:sz w:val="24"/>
          <w:lang w:val="en-US" w:eastAsia="zh-CN"/>
        </w:rPr>
        <w:t>36</w:t>
      </w:r>
      <w:r>
        <w:rPr>
          <w:rFonts w:hint="eastAsia" w:ascii="宋体" w:hAnsi="宋体" w:eastAsia="宋体" w:cs="宋体"/>
          <w:color w:val="000000"/>
          <w:sz w:val="24"/>
        </w:rPr>
        <w:t>个，没有回函的单位数：</w:t>
      </w:r>
      <w:r>
        <w:rPr>
          <w:rFonts w:hint="eastAsia" w:ascii="宋体" w:hAnsi="宋体" w:eastAsia="宋体" w:cs="宋体"/>
          <w:color w:val="000000"/>
          <w:sz w:val="24"/>
          <w:lang w:val="en-US" w:eastAsia="zh-CN"/>
        </w:rPr>
        <w:t>0</w:t>
      </w:r>
      <w:r>
        <w:rPr>
          <w:rFonts w:hint="eastAsia" w:ascii="宋体" w:hAnsi="宋体" w:eastAsia="宋体" w:cs="宋体"/>
          <w:color w:val="000000"/>
          <w:sz w:val="24"/>
        </w:rPr>
        <w:t>个。</w:t>
      </w:r>
    </w:p>
    <w:p w14:paraId="172180FE">
      <w:pPr>
        <w:ind w:firstLine="720" w:firstLineChars="300"/>
        <w:rPr>
          <w:rFonts w:hint="eastAsia" w:ascii="宋体" w:hAnsi="宋体" w:eastAsia="宋体" w:cs="宋体"/>
          <w:color w:val="000000"/>
          <w:sz w:val="24"/>
        </w:rPr>
      </w:pPr>
      <w:r>
        <w:rPr>
          <w:rFonts w:hint="eastAsia" w:ascii="宋体" w:hAnsi="宋体" w:eastAsia="宋体" w:cs="宋体"/>
          <w:color w:val="000000"/>
          <w:sz w:val="24"/>
        </w:rPr>
        <w:t>（3） 回函的单位中，有意见和建议或的单位数：</w:t>
      </w:r>
      <w:r>
        <w:rPr>
          <w:rFonts w:hint="eastAsia" w:ascii="宋体" w:hAnsi="宋体" w:eastAsia="宋体" w:cs="宋体"/>
          <w:color w:val="000000"/>
          <w:sz w:val="24"/>
          <w:lang w:val="en-US" w:eastAsia="zh-CN"/>
        </w:rPr>
        <w:t>3</w:t>
      </w:r>
      <w:r>
        <w:rPr>
          <w:rFonts w:hint="eastAsia" w:ascii="宋体" w:hAnsi="宋体" w:cs="宋体"/>
          <w:color w:val="000000"/>
          <w:sz w:val="24"/>
          <w:lang w:val="en-US" w:eastAsia="zh-CN"/>
        </w:rPr>
        <w:t>4</w:t>
      </w:r>
      <w:r>
        <w:rPr>
          <w:rFonts w:hint="eastAsia" w:ascii="宋体" w:hAnsi="宋体" w:eastAsia="宋体" w:cs="宋体"/>
          <w:color w:val="000000"/>
          <w:sz w:val="24"/>
        </w:rPr>
        <w:t>个；无意见的单位数：</w:t>
      </w:r>
      <w:r>
        <w:rPr>
          <w:rFonts w:hint="eastAsia" w:ascii="宋体" w:hAnsi="宋体" w:cs="宋体"/>
          <w:color w:val="000000"/>
          <w:sz w:val="24"/>
          <w:lang w:val="en-US" w:eastAsia="zh-CN"/>
        </w:rPr>
        <w:t>2</w:t>
      </w:r>
      <w:r>
        <w:rPr>
          <w:rFonts w:hint="eastAsia" w:ascii="宋体" w:hAnsi="宋体" w:eastAsia="宋体" w:cs="宋体"/>
          <w:color w:val="000000"/>
          <w:sz w:val="24"/>
        </w:rPr>
        <w:t>个。</w:t>
      </w:r>
    </w:p>
    <w:p w14:paraId="5B138176">
      <w:pPr>
        <w:ind w:firstLine="720" w:firstLineChars="300"/>
        <w:rPr>
          <w:rFonts w:hint="eastAsia" w:ascii="宋体" w:hAnsi="宋体" w:eastAsia="宋体" w:cs="宋体"/>
          <w:color w:val="000000"/>
          <w:sz w:val="24"/>
        </w:rPr>
      </w:pPr>
      <w:r>
        <w:rPr>
          <w:rFonts w:hint="eastAsia" w:ascii="宋体" w:hAnsi="宋体" w:eastAsia="宋体" w:cs="宋体"/>
          <w:color w:val="000000"/>
          <w:sz w:val="24"/>
        </w:rPr>
        <w:t>（4） 回函的意见或建议数：</w:t>
      </w:r>
      <w:r>
        <w:rPr>
          <w:rFonts w:hint="eastAsia" w:ascii="宋体" w:hAnsi="宋体" w:eastAsia="宋体" w:cs="宋体"/>
          <w:color w:val="000000"/>
          <w:sz w:val="24"/>
          <w:lang w:val="en-US" w:eastAsia="zh-CN"/>
        </w:rPr>
        <w:t>3</w:t>
      </w:r>
      <w:r>
        <w:rPr>
          <w:rFonts w:hint="eastAsia" w:ascii="宋体" w:hAnsi="宋体" w:cs="宋体"/>
          <w:color w:val="000000"/>
          <w:sz w:val="24"/>
          <w:lang w:val="en-US" w:eastAsia="zh-CN"/>
        </w:rPr>
        <w:t>4</w:t>
      </w:r>
      <w:r>
        <w:rPr>
          <w:rFonts w:hint="eastAsia" w:ascii="宋体" w:hAnsi="宋体" w:eastAsia="宋体" w:cs="宋体"/>
          <w:color w:val="000000"/>
          <w:sz w:val="24"/>
        </w:rPr>
        <w:t>条；其中采纳</w:t>
      </w:r>
      <w:r>
        <w:rPr>
          <w:rFonts w:hint="eastAsia" w:ascii="宋体" w:hAnsi="宋体" w:cs="宋体"/>
          <w:color w:val="000000"/>
          <w:sz w:val="24"/>
          <w:lang w:val="en-US" w:eastAsia="zh-CN"/>
        </w:rPr>
        <w:t>31</w:t>
      </w:r>
      <w:r>
        <w:rPr>
          <w:rFonts w:hint="eastAsia" w:ascii="宋体" w:hAnsi="宋体" w:eastAsia="宋体" w:cs="宋体"/>
          <w:color w:val="000000"/>
          <w:sz w:val="24"/>
        </w:rPr>
        <w:t>条，部分采纳</w:t>
      </w:r>
      <w:r>
        <w:rPr>
          <w:rFonts w:hint="eastAsia" w:ascii="宋体" w:hAnsi="宋体" w:eastAsia="宋体" w:cs="宋体"/>
          <w:color w:val="000000"/>
          <w:sz w:val="24"/>
          <w:lang w:val="en-US" w:eastAsia="zh-CN"/>
        </w:rPr>
        <w:t>2</w:t>
      </w:r>
      <w:r>
        <w:rPr>
          <w:rFonts w:hint="eastAsia" w:ascii="宋体" w:hAnsi="宋体" w:eastAsia="宋体" w:cs="宋体"/>
          <w:color w:val="000000"/>
          <w:sz w:val="24"/>
        </w:rPr>
        <w:t>条，不采纳</w:t>
      </w:r>
      <w:r>
        <w:rPr>
          <w:rFonts w:hint="eastAsia" w:ascii="宋体" w:hAnsi="宋体" w:cs="宋体"/>
          <w:color w:val="000000"/>
          <w:sz w:val="24"/>
          <w:lang w:val="en-US" w:eastAsia="zh-CN"/>
        </w:rPr>
        <w:t>1</w:t>
      </w:r>
      <w:r>
        <w:rPr>
          <w:rFonts w:hint="eastAsia" w:ascii="宋体" w:hAnsi="宋体" w:eastAsia="宋体" w:cs="宋体"/>
          <w:color w:val="000000"/>
          <w:sz w:val="24"/>
        </w:rPr>
        <w:t>条。</w:t>
      </w:r>
    </w:p>
    <w:tbl>
      <w:tblPr>
        <w:tblStyle w:val="8"/>
        <w:tblW w:w="520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56"/>
        <w:gridCol w:w="1018"/>
        <w:gridCol w:w="2016"/>
        <w:gridCol w:w="5860"/>
        <w:gridCol w:w="1303"/>
        <w:gridCol w:w="2588"/>
        <w:gridCol w:w="1729"/>
      </w:tblGrid>
      <w:tr w14:paraId="47C4D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152" w:type="pct"/>
            <w:tcBorders>
              <w:top w:val="dotted" w:color="auto" w:sz="8" w:space="0"/>
              <w:left w:val="dotted" w:color="auto" w:sz="8" w:space="0"/>
              <w:bottom w:val="dotted" w:color="auto" w:sz="18" w:space="0"/>
              <w:right w:val="dotted" w:color="auto" w:sz="8" w:space="0"/>
            </w:tcBorders>
            <w:shd w:val="clear" w:color="auto" w:fill="FFFFFF"/>
            <w:vAlign w:val="center"/>
          </w:tcPr>
          <w:p w14:paraId="36CD96B9">
            <w:pPr>
              <w:jc w:val="center"/>
              <w:rPr>
                <w:rFonts w:ascii="仿宋" w:hAnsi="仿宋" w:eastAsia="仿宋"/>
                <w:bCs/>
                <w:color w:val="000000"/>
                <w:sz w:val="24"/>
              </w:rPr>
            </w:pPr>
            <w:r>
              <w:rPr>
                <w:rFonts w:hint="eastAsia" w:ascii="仿宋" w:hAnsi="仿宋" w:eastAsia="仿宋"/>
                <w:bCs/>
                <w:color w:val="000000"/>
                <w:sz w:val="24"/>
              </w:rPr>
              <w:t>序号</w:t>
            </w:r>
          </w:p>
        </w:tc>
        <w:tc>
          <w:tcPr>
            <w:tcW w:w="340" w:type="pct"/>
            <w:tcBorders>
              <w:top w:val="dotted" w:color="auto" w:sz="8" w:space="0"/>
              <w:left w:val="dotted" w:color="auto" w:sz="8" w:space="0"/>
              <w:bottom w:val="dotted" w:color="auto" w:sz="18" w:space="0"/>
              <w:right w:val="dotted" w:color="auto" w:sz="8" w:space="0"/>
            </w:tcBorders>
            <w:shd w:val="clear" w:color="auto" w:fill="FFFFFF"/>
            <w:vAlign w:val="center"/>
          </w:tcPr>
          <w:p w14:paraId="58790F40">
            <w:pPr>
              <w:jc w:val="center"/>
              <w:rPr>
                <w:rFonts w:ascii="仿宋" w:hAnsi="仿宋" w:eastAsia="仿宋"/>
                <w:bCs/>
                <w:color w:val="000000"/>
                <w:sz w:val="24"/>
              </w:rPr>
            </w:pPr>
            <w:r>
              <w:rPr>
                <w:rFonts w:hint="eastAsia" w:ascii="仿宋" w:hAnsi="仿宋" w:eastAsia="仿宋"/>
                <w:bCs/>
                <w:color w:val="000000"/>
                <w:sz w:val="24"/>
              </w:rPr>
              <w:t>条文</w:t>
            </w:r>
          </w:p>
          <w:p w14:paraId="79F2310B">
            <w:pPr>
              <w:jc w:val="center"/>
              <w:rPr>
                <w:rFonts w:ascii="仿宋" w:hAnsi="仿宋" w:eastAsia="仿宋"/>
                <w:bCs/>
                <w:color w:val="000000"/>
                <w:sz w:val="24"/>
              </w:rPr>
            </w:pPr>
            <w:r>
              <w:rPr>
                <w:rFonts w:hint="eastAsia" w:ascii="仿宋" w:hAnsi="仿宋" w:eastAsia="仿宋"/>
                <w:bCs/>
                <w:color w:val="000000"/>
                <w:sz w:val="24"/>
              </w:rPr>
              <w:t>编号</w:t>
            </w:r>
          </w:p>
        </w:tc>
        <w:tc>
          <w:tcPr>
            <w:tcW w:w="673" w:type="pct"/>
            <w:tcBorders>
              <w:top w:val="dotted" w:color="auto" w:sz="8" w:space="0"/>
              <w:left w:val="dotted" w:color="auto" w:sz="8" w:space="0"/>
              <w:bottom w:val="dotted" w:color="auto" w:sz="18" w:space="0"/>
              <w:right w:val="dotted" w:color="auto" w:sz="8" w:space="0"/>
            </w:tcBorders>
            <w:shd w:val="clear" w:color="auto" w:fill="FFFFFF"/>
            <w:vAlign w:val="center"/>
          </w:tcPr>
          <w:p w14:paraId="071AE8E9">
            <w:pPr>
              <w:jc w:val="center"/>
              <w:rPr>
                <w:rFonts w:ascii="仿宋" w:hAnsi="仿宋" w:eastAsia="仿宋"/>
                <w:bCs/>
                <w:color w:val="000000"/>
                <w:sz w:val="24"/>
              </w:rPr>
            </w:pPr>
            <w:r>
              <w:rPr>
                <w:rFonts w:hint="eastAsia" w:ascii="仿宋" w:hAnsi="仿宋" w:eastAsia="仿宋"/>
                <w:bCs/>
                <w:color w:val="000000"/>
                <w:sz w:val="24"/>
              </w:rPr>
              <w:t>提出意见的单位或个人</w:t>
            </w:r>
          </w:p>
        </w:tc>
        <w:tc>
          <w:tcPr>
            <w:tcW w:w="1956" w:type="pct"/>
            <w:tcBorders>
              <w:top w:val="dotted" w:color="auto" w:sz="8" w:space="0"/>
              <w:left w:val="dotted" w:color="auto" w:sz="8" w:space="0"/>
              <w:bottom w:val="dotted" w:color="auto" w:sz="18" w:space="0"/>
              <w:right w:val="dotted" w:color="auto" w:sz="8" w:space="0"/>
            </w:tcBorders>
            <w:shd w:val="clear" w:color="auto" w:fill="FFFFFF"/>
            <w:vAlign w:val="center"/>
          </w:tcPr>
          <w:p w14:paraId="0279548F">
            <w:pPr>
              <w:jc w:val="center"/>
              <w:rPr>
                <w:rFonts w:ascii="仿宋" w:hAnsi="仿宋" w:eastAsia="仿宋"/>
                <w:bCs/>
                <w:color w:val="000000"/>
                <w:sz w:val="24"/>
              </w:rPr>
            </w:pPr>
            <w:r>
              <w:rPr>
                <w:rFonts w:hint="eastAsia" w:ascii="仿宋" w:hAnsi="仿宋" w:eastAsia="仿宋"/>
                <w:bCs/>
                <w:color w:val="000000"/>
                <w:sz w:val="24"/>
              </w:rPr>
              <w:t>意见内容</w:t>
            </w:r>
          </w:p>
        </w:tc>
        <w:tc>
          <w:tcPr>
            <w:tcW w:w="435" w:type="pct"/>
            <w:tcBorders>
              <w:top w:val="dotted" w:color="auto" w:sz="8" w:space="0"/>
              <w:left w:val="dotted" w:color="auto" w:sz="8" w:space="0"/>
              <w:bottom w:val="dotted" w:color="auto" w:sz="18" w:space="0"/>
              <w:right w:val="dotted" w:color="auto" w:sz="8" w:space="0"/>
            </w:tcBorders>
            <w:shd w:val="clear" w:color="auto" w:fill="FFFFFF"/>
            <w:vAlign w:val="center"/>
          </w:tcPr>
          <w:p w14:paraId="50D90C5D">
            <w:pPr>
              <w:jc w:val="center"/>
              <w:rPr>
                <w:rFonts w:ascii="仿宋" w:hAnsi="仿宋" w:eastAsia="仿宋"/>
                <w:bCs/>
                <w:color w:val="000000"/>
                <w:sz w:val="24"/>
              </w:rPr>
            </w:pPr>
            <w:r>
              <w:rPr>
                <w:rFonts w:hint="eastAsia" w:ascii="仿宋" w:hAnsi="仿宋" w:eastAsia="仿宋"/>
                <w:bCs/>
                <w:color w:val="000000"/>
                <w:sz w:val="24"/>
              </w:rPr>
              <w:t>是否采纳</w:t>
            </w:r>
          </w:p>
        </w:tc>
        <w:tc>
          <w:tcPr>
            <w:tcW w:w="864" w:type="pct"/>
            <w:tcBorders>
              <w:top w:val="dotted" w:color="auto" w:sz="8" w:space="0"/>
              <w:left w:val="dotted" w:color="auto" w:sz="8" w:space="0"/>
              <w:bottom w:val="dotted" w:color="auto" w:sz="18" w:space="0"/>
              <w:right w:val="dotted" w:color="auto" w:sz="8" w:space="0"/>
            </w:tcBorders>
            <w:shd w:val="clear" w:color="auto" w:fill="FFFFFF"/>
            <w:vAlign w:val="center"/>
          </w:tcPr>
          <w:p w14:paraId="3F643BB0">
            <w:pPr>
              <w:jc w:val="center"/>
              <w:rPr>
                <w:rFonts w:ascii="仿宋" w:hAnsi="仿宋" w:eastAsia="仿宋"/>
                <w:bCs/>
                <w:color w:val="000000"/>
                <w:sz w:val="24"/>
              </w:rPr>
            </w:pPr>
            <w:r>
              <w:rPr>
                <w:rFonts w:hint="eastAsia" w:ascii="仿宋" w:hAnsi="仿宋" w:eastAsia="仿宋"/>
                <w:bCs/>
                <w:color w:val="000000"/>
                <w:sz w:val="24"/>
              </w:rPr>
              <w:t>不采纳的理由</w:t>
            </w:r>
          </w:p>
        </w:tc>
        <w:tc>
          <w:tcPr>
            <w:tcW w:w="577" w:type="pct"/>
            <w:tcBorders>
              <w:top w:val="dotted" w:color="auto" w:sz="8" w:space="0"/>
              <w:left w:val="dotted" w:color="auto" w:sz="8" w:space="0"/>
              <w:bottom w:val="dotted" w:color="auto" w:sz="18" w:space="0"/>
              <w:right w:val="dotted" w:color="auto" w:sz="8" w:space="0"/>
            </w:tcBorders>
            <w:shd w:val="clear" w:color="auto" w:fill="FFFFFF"/>
            <w:vAlign w:val="center"/>
          </w:tcPr>
          <w:p w14:paraId="4B00A721">
            <w:pPr>
              <w:jc w:val="center"/>
              <w:rPr>
                <w:rFonts w:ascii="仿宋" w:hAnsi="仿宋" w:eastAsia="仿宋"/>
                <w:bCs/>
                <w:color w:val="000000"/>
                <w:sz w:val="24"/>
              </w:rPr>
            </w:pPr>
            <w:r>
              <w:rPr>
                <w:rFonts w:hint="eastAsia" w:ascii="仿宋" w:hAnsi="仿宋" w:eastAsia="仿宋"/>
                <w:bCs/>
                <w:color w:val="000000"/>
                <w:sz w:val="24"/>
              </w:rPr>
              <w:t>处理结果</w:t>
            </w:r>
          </w:p>
        </w:tc>
      </w:tr>
      <w:tr w14:paraId="63FF3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66DB9BBB">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7F915E83">
            <w:p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封面</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5726CEFA">
            <w:pPr>
              <w:jc w:val="both"/>
              <w:rPr>
                <w:rFonts w:hint="eastAsia" w:ascii="宋体" w:hAnsi="宋体" w:eastAsia="宋体" w:cs="宋体"/>
                <w:color w:val="000000"/>
                <w:szCs w:val="21"/>
              </w:rPr>
            </w:pPr>
            <w:r>
              <w:rPr>
                <w:rFonts w:hint="eastAsia" w:ascii="宋体" w:hAnsi="宋体" w:eastAsia="宋体" w:cs="宋体"/>
                <w:color w:val="000000"/>
                <w:szCs w:val="21"/>
              </w:rPr>
              <w:t>上海市中医医</w:t>
            </w:r>
            <w:r>
              <w:rPr>
                <w:rFonts w:hint="eastAsia" w:ascii="宋体" w:hAnsi="宋体" w:cs="宋体"/>
                <w:color w:val="000000"/>
                <w:szCs w:val="21"/>
                <w:lang w:eastAsia="zh-CN"/>
              </w:rPr>
              <w:t>院</w:t>
            </w:r>
            <w:r>
              <w:rPr>
                <w:rFonts w:hint="eastAsia" w:ascii="宋体" w:hAnsi="宋体" w:eastAsia="宋体" w:cs="宋体"/>
                <w:color w:val="000000"/>
                <w:szCs w:val="21"/>
              </w:rPr>
              <w:t>/李晓锋</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0755ED81">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“The </w:t>
            </w:r>
            <w:r>
              <w:rPr>
                <w:rFonts w:hint="eastAsia" w:ascii="宋体" w:hAnsi="宋体" w:eastAsia="宋体" w:cs="宋体"/>
                <w:color w:val="000000"/>
                <w:szCs w:val="21"/>
              </w:rPr>
              <w:t>Guidelines for TCM Health Management of High Risk Group of Osteoporosis</w:t>
            </w:r>
            <w:r>
              <w:rPr>
                <w:rFonts w:hint="eastAsia" w:ascii="宋体" w:hAnsi="宋体" w:eastAsia="宋体" w:cs="宋体"/>
                <w:color w:val="000000"/>
                <w:szCs w:val="21"/>
                <w:lang w:val="en-US" w:eastAsia="zh-CN"/>
              </w:rPr>
              <w:t>”；英文中的“The”去掉；</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3E9F9FBF">
            <w:pPr>
              <w:jc w:val="both"/>
              <w:rPr>
                <w:rFonts w:hint="eastAsia" w:ascii="宋体" w:hAnsi="宋体" w:eastAsia="宋体" w:cs="宋体"/>
                <w:color w:val="000000"/>
                <w:szCs w:val="21"/>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4BEDA3ED">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2E2A98C9">
            <w:pPr>
              <w:snapToGrid w:val="0"/>
              <w:jc w:val="both"/>
              <w:rPr>
                <w:rFonts w:hint="eastAsia" w:ascii="宋体" w:hAnsi="宋体" w:eastAsia="宋体" w:cs="宋体"/>
                <w:color w:val="000000"/>
                <w:szCs w:val="21"/>
              </w:rPr>
            </w:pPr>
            <w:r>
              <w:rPr>
                <w:rFonts w:hint="eastAsia" w:ascii="宋体" w:hAnsi="宋体" w:eastAsia="宋体" w:cs="宋体"/>
                <w:color w:val="000000"/>
                <w:szCs w:val="21"/>
              </w:rPr>
              <w:t>已对应修改</w:t>
            </w:r>
          </w:p>
        </w:tc>
      </w:tr>
      <w:tr w14:paraId="46D6B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64E3B277">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333614F2">
            <w:p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前言</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73EB9395">
            <w:pPr>
              <w:jc w:val="both"/>
              <w:rPr>
                <w:rFonts w:hint="eastAsia" w:ascii="宋体" w:hAnsi="宋体" w:eastAsia="宋体" w:cs="宋体"/>
                <w:color w:val="000000"/>
                <w:szCs w:val="21"/>
              </w:rPr>
            </w:pPr>
            <w:r>
              <w:rPr>
                <w:rFonts w:hint="eastAsia" w:ascii="宋体" w:hAnsi="宋体" w:eastAsia="宋体" w:cs="宋体"/>
                <w:color w:val="000000"/>
                <w:szCs w:val="21"/>
              </w:rPr>
              <w:t>甘肃省中医院/周明旺</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4CBF38C7">
            <w:pPr>
              <w:numPr>
                <w:ilvl w:val="0"/>
                <w:numId w:val="0"/>
              </w:numPr>
              <w:ind w:leftChars="0"/>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eastAsia="zh-CN"/>
              </w:rPr>
              <w:t>“</w:t>
            </w:r>
            <w:r>
              <w:rPr>
                <w:rFonts w:hint="eastAsia" w:ascii="宋体" w:hAnsi="宋体" w:eastAsia="宋体" w:cs="宋体"/>
                <w:color w:val="000000"/>
                <w:szCs w:val="21"/>
              </w:rPr>
              <w:t>本指南标准在系统总结前期研究成果的基础上，广泛征询临床专家的专业意见和建议，形成骨质疏松高风险人群中医健康管理指南</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建议相关指南加“《》”，即修改“</w:t>
            </w:r>
            <w:r>
              <w:rPr>
                <w:rFonts w:hint="eastAsia" w:ascii="宋体" w:hAnsi="宋体" w:eastAsia="宋体" w:cs="宋体"/>
                <w:color w:val="000000"/>
                <w:szCs w:val="21"/>
              </w:rPr>
              <w:t>形成</w:t>
            </w:r>
            <w:r>
              <w:rPr>
                <w:rFonts w:hint="eastAsia" w:ascii="宋体" w:hAnsi="宋体" w:eastAsia="宋体" w:cs="宋体"/>
                <w:color w:val="000000"/>
                <w:szCs w:val="21"/>
                <w:lang w:eastAsia="zh-CN"/>
              </w:rPr>
              <w:t>《</w:t>
            </w:r>
            <w:r>
              <w:rPr>
                <w:rFonts w:hint="eastAsia" w:ascii="宋体" w:hAnsi="宋体" w:eastAsia="宋体" w:cs="宋体"/>
                <w:color w:val="000000"/>
                <w:szCs w:val="21"/>
              </w:rPr>
              <w:t>骨质疏松高风险人群中医健康管理指南</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2E5EFF78">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0434D5B9">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3E29C54F">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6BC64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2391432E">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22098DF8">
            <w:p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前言</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5067DC14">
            <w:pPr>
              <w:jc w:val="both"/>
              <w:rPr>
                <w:rFonts w:hint="eastAsia" w:ascii="宋体" w:hAnsi="宋体" w:eastAsia="宋体" w:cs="宋体"/>
                <w:color w:val="000000"/>
                <w:szCs w:val="21"/>
              </w:rPr>
            </w:pPr>
            <w:r>
              <w:rPr>
                <w:rFonts w:hint="eastAsia" w:ascii="宋体" w:hAnsi="宋体" w:eastAsia="宋体" w:cs="宋体"/>
                <w:color w:val="000000"/>
                <w:szCs w:val="21"/>
              </w:rPr>
              <w:t>江苏省中医院/王培民</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39260833">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eastAsia="zh-CN"/>
              </w:rPr>
              <w:t>“</w:t>
            </w:r>
            <w:r>
              <w:rPr>
                <w:rFonts w:hint="eastAsia" w:ascii="宋体" w:hAnsi="宋体" w:eastAsia="宋体" w:cs="宋体"/>
                <w:color w:val="000000"/>
                <w:szCs w:val="21"/>
              </w:rPr>
              <w:t>为在未病阶段展开针对性的干预提供依据</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建议</w:t>
            </w:r>
            <w:r>
              <w:rPr>
                <w:rFonts w:hint="eastAsia" w:ascii="宋体" w:hAnsi="宋体" w:eastAsia="宋体" w:cs="宋体"/>
                <w:color w:val="000000"/>
                <w:szCs w:val="21"/>
                <w:lang w:eastAsia="zh-CN"/>
              </w:rPr>
              <w:t>“</w:t>
            </w:r>
            <w:r>
              <w:rPr>
                <w:rFonts w:hint="eastAsia" w:ascii="宋体" w:hAnsi="宋体" w:eastAsia="宋体" w:cs="宋体"/>
                <w:color w:val="000000"/>
                <w:szCs w:val="21"/>
              </w:rPr>
              <w:t>未病</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加上引号，即修改为：</w:t>
            </w:r>
            <w:r>
              <w:rPr>
                <w:rFonts w:hint="eastAsia" w:ascii="宋体" w:hAnsi="宋体" w:eastAsia="宋体" w:cs="宋体"/>
                <w:color w:val="000000"/>
                <w:szCs w:val="21"/>
              </w:rPr>
              <w:t>为在</w:t>
            </w:r>
            <w:r>
              <w:rPr>
                <w:rFonts w:hint="eastAsia" w:ascii="宋体" w:hAnsi="宋体" w:eastAsia="宋体" w:cs="宋体"/>
                <w:color w:val="000000"/>
                <w:szCs w:val="21"/>
                <w:lang w:eastAsia="zh-CN"/>
              </w:rPr>
              <w:t>“</w:t>
            </w:r>
            <w:r>
              <w:rPr>
                <w:rFonts w:hint="eastAsia" w:ascii="宋体" w:hAnsi="宋体" w:eastAsia="宋体" w:cs="宋体"/>
                <w:color w:val="000000"/>
                <w:szCs w:val="21"/>
              </w:rPr>
              <w:t>未病</w:t>
            </w:r>
            <w:r>
              <w:rPr>
                <w:rFonts w:hint="eastAsia" w:ascii="宋体" w:hAnsi="宋体" w:eastAsia="宋体" w:cs="宋体"/>
                <w:color w:val="000000"/>
                <w:szCs w:val="21"/>
                <w:lang w:eastAsia="zh-CN"/>
              </w:rPr>
              <w:t>”</w:t>
            </w:r>
            <w:r>
              <w:rPr>
                <w:rFonts w:hint="eastAsia" w:ascii="宋体" w:hAnsi="宋体" w:eastAsia="宋体" w:cs="宋体"/>
                <w:color w:val="000000"/>
                <w:szCs w:val="21"/>
              </w:rPr>
              <w:t>阶段展开针对性的干预提供依据</w:t>
            </w:r>
            <w:r>
              <w:rPr>
                <w:rFonts w:hint="eastAsia" w:ascii="宋体" w:hAnsi="宋体" w:eastAsia="宋体" w:cs="宋体"/>
                <w:color w:val="000000"/>
                <w:szCs w:val="21"/>
                <w:lang w:eastAsia="zh-CN"/>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299BD151">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7DA3C3E4">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7B273C90">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18E69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593DCD59">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27C9A8CA">
            <w:pPr>
              <w:jc w:val="both"/>
              <w:rPr>
                <w:rFonts w:hint="eastAsia"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4　骨质疏松流行病学</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2D9D9832">
            <w:pPr>
              <w:jc w:val="both"/>
              <w:rPr>
                <w:rFonts w:hint="eastAsia" w:ascii="宋体" w:hAnsi="宋体" w:eastAsia="宋体" w:cs="宋体"/>
                <w:color w:val="000000"/>
                <w:szCs w:val="21"/>
              </w:rPr>
            </w:pPr>
            <w:r>
              <w:rPr>
                <w:rFonts w:hint="eastAsia" w:ascii="宋体" w:hAnsi="宋体" w:eastAsia="宋体" w:cs="宋体"/>
                <w:color w:val="000000"/>
                <w:szCs w:val="21"/>
              </w:rPr>
              <w:t>南方医科大学/李义凯</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5E4A9254">
            <w:pPr>
              <w:jc w:val="both"/>
              <w:rPr>
                <w:rFonts w:hint="eastAsia" w:ascii="宋体" w:hAnsi="宋体" w:eastAsia="宋体" w:cs="宋体"/>
                <w:color w:val="000000"/>
                <w:szCs w:val="21"/>
                <w:lang w:val="en-US" w:eastAsia="zh-CN"/>
              </w:rPr>
            </w:pPr>
            <w:r>
              <w:rPr>
                <w:rFonts w:hint="default" w:ascii="宋体" w:hAnsi="宋体" w:cs="宋体"/>
                <w:color w:val="000000"/>
                <w:szCs w:val="21"/>
                <w:lang w:val="en-US" w:eastAsia="zh-CN"/>
              </w:rPr>
              <w:t>“2018年中华医学会骨质疏松和骨矿盐疾病分会联合中国疾病预防控制中心发布的中国骨质疏松流行病学调查结果显示，我国50岁以上人群骨质疏松患病率为19.2%，65岁以上人群骨质疏松患病率达到32.0%。既往的流行病学调查显示，50岁以上人群骨质疏松患病率女性为20.7%，男性为14.4%；60岁以上人群骨质疏松患病率明显增高，女性尤为突出。”</w:t>
            </w:r>
            <w:r>
              <w:rPr>
                <w:rFonts w:hint="eastAsia" w:ascii="宋体" w:hAnsi="宋体" w:eastAsia="宋体" w:cs="宋体"/>
                <w:color w:val="000000"/>
                <w:szCs w:val="21"/>
                <w:lang w:val="en-US" w:eastAsia="zh-CN"/>
              </w:rPr>
              <w:t>建议根据最新的文献对“骨质疏松流行病学”相关数据资料进行更新；</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60B0BAEC">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68E7A70F">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1E08EE41">
            <w:pPr>
              <w:snapToGrid w:val="0"/>
              <w:jc w:val="both"/>
              <w:rPr>
                <w:rFonts w:hint="default"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r>
              <w:rPr>
                <w:rFonts w:hint="eastAsia" w:ascii="宋体" w:hAnsi="宋体" w:cs="宋体"/>
                <w:color w:val="000000"/>
                <w:szCs w:val="21"/>
                <w:lang w:eastAsia="zh-CN"/>
              </w:rPr>
              <w:t>，并补充最新参考文献</w:t>
            </w:r>
            <w:r>
              <w:rPr>
                <w:rFonts w:hint="eastAsia" w:ascii="宋体" w:hAnsi="宋体" w:cs="宋体"/>
                <w:color w:val="000000"/>
                <w:szCs w:val="21"/>
                <w:lang w:val="en-US" w:eastAsia="zh-CN"/>
              </w:rPr>
              <w:t>2条。</w:t>
            </w:r>
          </w:p>
        </w:tc>
      </w:tr>
      <w:tr w14:paraId="7CFD7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23B3A077">
            <w:pPr>
              <w:numPr>
                <w:ilvl w:val="0"/>
                <w:numId w:val="2"/>
              </w:numPr>
              <w:jc w:val="both"/>
              <w:rPr>
                <w:rFonts w:hint="eastAsia" w:ascii="宋体" w:hAnsi="宋体" w:eastAsia="宋体" w:cs="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10D993DC">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6.1 内分泌因素</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0DCFCAF1">
            <w:pPr>
              <w:jc w:val="both"/>
              <w:rPr>
                <w:rFonts w:hint="eastAsia" w:ascii="宋体" w:hAnsi="宋体" w:eastAsia="宋体" w:cs="宋体"/>
                <w:color w:val="000000"/>
                <w:szCs w:val="21"/>
              </w:rPr>
            </w:pPr>
            <w:r>
              <w:rPr>
                <w:rFonts w:hint="eastAsia" w:ascii="宋体" w:hAnsi="宋体" w:eastAsia="宋体" w:cs="宋体"/>
                <w:color w:val="000000"/>
                <w:szCs w:val="21"/>
              </w:rPr>
              <w:t>暨南大学附属第一医院/郑小飞</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00E09681">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建议增加“</w:t>
            </w:r>
            <w:r>
              <w:rPr>
                <w:rFonts w:hint="eastAsia" w:ascii="宋体" w:hAnsi="宋体" w:eastAsia="宋体" w:cs="宋体"/>
                <w:sz w:val="21"/>
                <w:szCs w:val="20"/>
                <w:lang w:val="en-US" w:eastAsia="zh-CN"/>
              </w:rPr>
              <w:t>甲状旁腺激素、甲状腺素、糖皮质激素过多或缺乏</w:t>
            </w:r>
            <w:r>
              <w:rPr>
                <w:rFonts w:hint="eastAsia" w:ascii="宋体" w:hAnsi="宋体" w:eastAsia="宋体" w:cs="宋体"/>
                <w:color w:val="000000"/>
                <w:szCs w:val="21"/>
                <w:lang w:val="en-US" w:eastAsia="zh-CN"/>
              </w:rPr>
              <w:t>”，即修改为“雌激素、雄激素、降钙素、维生素D、生长激素缺乏，以及甲状旁腺激素、甲状腺素、糖皮质激素过多或缺乏，都可能导致骨质疏松。如雌激素缺乏会增加骨吸收，导致骨质流失，而维生素D不足会影响钙的吸收，进而影响骨骼健康。”</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4262E8AF">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5197E27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3BB33EC2">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7BA14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2E796358">
            <w:pPr>
              <w:numPr>
                <w:ilvl w:val="0"/>
                <w:numId w:val="2"/>
              </w:numPr>
              <w:jc w:val="both"/>
              <w:rPr>
                <w:rFonts w:ascii="宋体" w:hAnsi="宋体"/>
                <w:b/>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3CD68350">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6.2 营养因素</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01D22690">
            <w:pPr>
              <w:jc w:val="both"/>
              <w:rPr>
                <w:rFonts w:hint="eastAsia" w:ascii="宋体" w:hAnsi="宋体" w:eastAsia="宋体" w:cs="宋体"/>
                <w:color w:val="000000"/>
                <w:szCs w:val="21"/>
              </w:rPr>
            </w:pPr>
            <w:r>
              <w:rPr>
                <w:rFonts w:hint="eastAsia" w:ascii="宋体" w:hAnsi="宋体" w:eastAsia="宋体" w:cs="宋体"/>
                <w:color w:val="000000"/>
                <w:szCs w:val="21"/>
              </w:rPr>
              <w:t>上海市中医药大学附属曙光医院/詹红生</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7954DA32">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建议补充“</w:t>
            </w:r>
            <w:r>
              <w:rPr>
                <w:rFonts w:hint="eastAsia" w:ascii="宋体" w:hAnsi="宋体" w:eastAsia="宋体" w:cs="宋体"/>
                <w:sz w:val="21"/>
                <w:szCs w:val="20"/>
                <w:lang w:val="en-US" w:eastAsia="zh-CN"/>
              </w:rPr>
              <w:t>磷摄入过多或过少，以及维生素A过剩</w:t>
            </w:r>
            <w:r>
              <w:rPr>
                <w:rFonts w:hint="eastAsia" w:ascii="宋体" w:hAnsi="宋体" w:eastAsia="宋体" w:cs="宋体"/>
                <w:color w:val="000000"/>
                <w:szCs w:val="21"/>
                <w:lang w:val="en-US" w:eastAsia="zh-CN"/>
              </w:rPr>
              <w:t>”，即修改为“钙、维生素D、蛋白质、维生素K缺乏，磷摄入过多或过少，以及维生素A过剩，都可能引起骨质疏松。”</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0438DF1C">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69B0860D">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1ECD9487">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2D6BD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297F8160">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6C050CC5">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6.3 生活与运动习惯</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55E6A279">
            <w:pPr>
              <w:jc w:val="both"/>
              <w:rPr>
                <w:rFonts w:hint="eastAsia" w:ascii="宋体" w:hAnsi="宋体" w:eastAsia="宋体" w:cs="宋体"/>
                <w:color w:val="000000"/>
                <w:szCs w:val="21"/>
              </w:rPr>
            </w:pPr>
            <w:r>
              <w:rPr>
                <w:rFonts w:hint="eastAsia" w:ascii="宋体" w:hAnsi="宋体" w:eastAsia="宋体" w:cs="宋体"/>
                <w:color w:val="000000"/>
                <w:szCs w:val="21"/>
              </w:rPr>
              <w:t>广西中医药大学/陈锋</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521A164F">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建议增加“</w:t>
            </w:r>
            <w:r>
              <w:rPr>
                <w:rFonts w:hint="eastAsia" w:ascii="宋体" w:hAnsi="宋体" w:eastAsia="宋体" w:cs="宋体"/>
                <w:sz w:val="21"/>
                <w:szCs w:val="20"/>
                <w:lang w:val="en-US" w:eastAsia="zh-CN"/>
              </w:rPr>
              <w:t>熬夜，体力活动及户外运动少，日晒少</w:t>
            </w:r>
            <w:r>
              <w:rPr>
                <w:rFonts w:hint="eastAsia" w:ascii="宋体" w:hAnsi="宋体" w:eastAsia="宋体" w:cs="宋体"/>
                <w:color w:val="000000"/>
                <w:szCs w:val="21"/>
                <w:lang w:val="en-US" w:eastAsia="zh-CN"/>
              </w:rPr>
              <w:t>”，即修改为“长期过量饮酒、喝咖啡、碳酸饮料和浓茶，吸烟，高盐高糖饮食，熬夜，体力活动及户外运动少，日晒少，均可促进骨质疏松的发生。”</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40E211EE">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59A4E06F">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326F887D">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3399D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25469220">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693E7763">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6.4 遗传因素 </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6EA09C65">
            <w:pPr>
              <w:jc w:val="both"/>
              <w:rPr>
                <w:rFonts w:hint="eastAsia" w:ascii="宋体" w:hAnsi="宋体" w:eastAsia="宋体" w:cs="宋体"/>
                <w:color w:val="000000"/>
                <w:szCs w:val="21"/>
              </w:rPr>
            </w:pPr>
            <w:r>
              <w:rPr>
                <w:rFonts w:hint="eastAsia" w:ascii="宋体" w:hAnsi="宋体" w:eastAsia="宋体" w:cs="宋体"/>
                <w:color w:val="000000"/>
                <w:szCs w:val="21"/>
              </w:rPr>
              <w:t>北京中医药大学第三附属医院/田向东</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09AC95A3">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建议补充“细胞因子及其受体基因、I型胶原蛋白基因”，即修改为“骨质疏松多见于白种人，其次黄种人，黑种人较少，骨量相当大部分受遗传因素的影响。钙磷代谢调节激素及其受体基因、性激素及其受体基因、细胞因子及其受体基因、I型胶原蛋白基因等与骨质疏松密切相关。有母系骨折家族史、出生低体重的人群也易患骨质疏松。”</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070A63B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65DFAC87">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0E846161">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15F90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601C3ED1">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413065DE">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6.5 药物因素</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0C68A61A">
            <w:pPr>
              <w:jc w:val="both"/>
              <w:rPr>
                <w:rFonts w:hint="eastAsia" w:ascii="宋体" w:hAnsi="宋体" w:eastAsia="宋体" w:cs="宋体"/>
                <w:color w:val="000000"/>
                <w:szCs w:val="21"/>
              </w:rPr>
            </w:pPr>
            <w:r>
              <w:rPr>
                <w:rFonts w:hint="eastAsia" w:ascii="宋体" w:hAnsi="宋体" w:eastAsia="宋体" w:cs="宋体"/>
                <w:color w:val="000000"/>
                <w:szCs w:val="21"/>
              </w:rPr>
              <w:t>福建中医药大学/李西海</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53C96476">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建议增加“</w:t>
            </w:r>
            <w:r>
              <w:rPr>
                <w:rFonts w:hint="eastAsia" w:ascii="宋体" w:hAnsi="宋体" w:eastAsia="宋体" w:cs="宋体"/>
                <w:color w:val="000000"/>
                <w:szCs w:val="21"/>
              </w:rPr>
              <w:t>甲状腺激素、铝剂、环孢霉素A、他克莫司</w:t>
            </w:r>
            <w:r>
              <w:rPr>
                <w:rFonts w:hint="eastAsia" w:ascii="宋体" w:hAnsi="宋体" w:eastAsia="宋体" w:cs="宋体"/>
                <w:color w:val="000000"/>
                <w:szCs w:val="21"/>
                <w:lang w:val="en-US" w:eastAsia="zh-CN"/>
              </w:rPr>
              <w:t>”，即修改为</w:t>
            </w:r>
            <w:r>
              <w:rPr>
                <w:rFonts w:hint="eastAsia" w:ascii="宋体" w:hAnsi="宋体" w:eastAsia="宋体" w:cs="宋体"/>
                <w:color w:val="000000"/>
                <w:szCs w:val="21"/>
                <w:lang w:eastAsia="zh-CN"/>
              </w:rPr>
              <w:t>“</w:t>
            </w:r>
            <w:r>
              <w:rPr>
                <w:rFonts w:hint="eastAsia" w:ascii="宋体" w:hAnsi="宋体" w:eastAsia="宋体" w:cs="宋体"/>
                <w:color w:val="000000"/>
                <w:szCs w:val="21"/>
              </w:rPr>
              <w:t>类固醇类药物、肝素、抗癫痫药物、质子泵抑制剂、噻唑烷二酮类药物、芳香化酶抑制剂、抗病毒药物、促性腺激素释放激素类似物、选择性5-羟色胺再摄取抑制剂、甲状腺激素、铝剂、环孢霉素A、他克莫司等均可引起骨质疏松。</w:t>
            </w:r>
            <w:r>
              <w:rPr>
                <w:rFonts w:hint="eastAsia" w:ascii="宋体" w:hAnsi="宋体" w:eastAsia="宋体" w:cs="宋体"/>
                <w:color w:val="000000"/>
                <w:szCs w:val="21"/>
                <w:lang w:val="en-US" w:eastAsia="zh-CN"/>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0626255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290B2E17">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0AC69096">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43F412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20FA0A1F">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0881BB99">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6.6 疾病因素</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2F74A544">
            <w:pPr>
              <w:jc w:val="both"/>
              <w:rPr>
                <w:rFonts w:hint="eastAsia" w:ascii="宋体" w:hAnsi="宋体" w:eastAsia="宋体" w:cs="宋体"/>
                <w:color w:val="000000"/>
                <w:szCs w:val="21"/>
              </w:rPr>
            </w:pPr>
            <w:r>
              <w:rPr>
                <w:rFonts w:hint="eastAsia" w:ascii="宋体" w:hAnsi="宋体" w:eastAsia="宋体" w:cs="宋体"/>
                <w:color w:val="000000"/>
                <w:szCs w:val="21"/>
              </w:rPr>
              <w:t>湖南中医药大学/熊辉</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4DB85869">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w:t>
            </w:r>
            <w:r>
              <w:rPr>
                <w:rFonts w:hint="eastAsia" w:ascii="宋体" w:hAnsi="宋体" w:eastAsia="宋体" w:cs="宋体"/>
                <w:sz w:val="21"/>
                <w:szCs w:val="20"/>
                <w:lang w:val="en-US" w:eastAsia="zh-CN"/>
              </w:rPr>
              <w:t>内分泌代谢疾病（如糖尿病）、结缔组织病、慢性肾脏病等。</w:t>
            </w:r>
            <w:r>
              <w:rPr>
                <w:rFonts w:hint="eastAsia" w:ascii="宋体" w:hAnsi="宋体" w:eastAsia="宋体" w:cs="宋体"/>
                <w:color w:val="000000"/>
                <w:szCs w:val="21"/>
                <w:lang w:val="en-US" w:eastAsia="zh-CN"/>
              </w:rPr>
              <w:t>”建议修改为“</w:t>
            </w:r>
            <w:r>
              <w:rPr>
                <w:rFonts w:hint="eastAsia" w:ascii="宋体" w:hAnsi="宋体" w:eastAsia="宋体" w:cs="宋体"/>
                <w:sz w:val="21"/>
                <w:szCs w:val="20"/>
                <w:lang w:val="en-US" w:eastAsia="zh-CN"/>
              </w:rPr>
              <w:t>内分泌代谢疾病（如糖尿病）、结缔组织病、慢性肾脏病、胃肠疾病和营养性疾病、血液系统疾病、神经肌肉系统疾病、肝功能不全等均可引起骨质疏松。比如，糖尿病患者由于血糖控制不佳，可能会影响骨骼的健康。</w:t>
            </w:r>
            <w:r>
              <w:rPr>
                <w:rFonts w:hint="eastAsia" w:ascii="宋体" w:hAnsi="宋体" w:eastAsia="宋体" w:cs="宋体"/>
                <w:color w:val="000000"/>
                <w:szCs w:val="21"/>
                <w:lang w:val="en-US" w:eastAsia="zh-CN"/>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6A6F0FE7">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534F76D8">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419BCB58">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23DFD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1F979895">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4D1DB314">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6.7 废用性因素</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0F1D9F9A">
            <w:pPr>
              <w:jc w:val="both"/>
              <w:rPr>
                <w:rFonts w:hint="eastAsia" w:ascii="宋体" w:hAnsi="宋体" w:eastAsia="宋体" w:cs="宋体"/>
                <w:color w:val="000000"/>
                <w:szCs w:val="21"/>
              </w:rPr>
            </w:pPr>
            <w:r>
              <w:rPr>
                <w:rFonts w:hint="eastAsia" w:ascii="宋体" w:hAnsi="宋体" w:eastAsia="宋体" w:cs="宋体"/>
                <w:color w:val="000000"/>
                <w:szCs w:val="21"/>
              </w:rPr>
              <w:t>辽宁中医药大学附属医院/姚啸生</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7B53A6D8">
            <w:pPr>
              <w:jc w:val="both"/>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长期卧床、太空旅行</w:t>
            </w:r>
            <w:r>
              <w:rPr>
                <w:rFonts w:hint="eastAsia" w:ascii="宋体" w:hAnsi="宋体" w:eastAsia="宋体" w:cs="宋体"/>
                <w:sz w:val="21"/>
                <w:szCs w:val="20"/>
                <w:lang w:val="en-US" w:eastAsia="zh-CN"/>
              </w:rPr>
              <w:t>、骨折等。</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建议修改为“</w:t>
            </w:r>
            <w:r>
              <w:rPr>
                <w:rFonts w:hint="eastAsia" w:ascii="宋体" w:hAnsi="宋体" w:eastAsia="宋体" w:cs="宋体"/>
                <w:sz w:val="21"/>
                <w:szCs w:val="20"/>
                <w:lang w:val="en-US" w:eastAsia="zh-CN"/>
              </w:rPr>
              <w:t>长期卧床、肢体瘫痪、太空旅行、骨折等情况会导致骨骼缺乏负重和运动刺激，从而增加骨质疏松的风险。</w:t>
            </w:r>
            <w:r>
              <w:rPr>
                <w:rFonts w:hint="eastAsia" w:ascii="宋体" w:hAnsi="宋体" w:eastAsia="宋体" w:cs="宋体"/>
                <w:color w:val="000000"/>
                <w:szCs w:val="21"/>
                <w:lang w:val="en-US" w:eastAsia="zh-CN"/>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582694DF">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7816A0E3">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2A6C07F3">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2FF66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03FA42CB">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15AE32BF">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6.8 先天性因素</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0DBA9881">
            <w:pPr>
              <w:jc w:val="both"/>
              <w:rPr>
                <w:rFonts w:hint="eastAsia" w:ascii="宋体" w:hAnsi="宋体" w:eastAsia="宋体" w:cs="宋体"/>
                <w:color w:val="000000"/>
                <w:szCs w:val="21"/>
              </w:rPr>
            </w:pPr>
            <w:r>
              <w:rPr>
                <w:rFonts w:hint="eastAsia" w:ascii="宋体" w:hAnsi="宋体" w:eastAsia="宋体" w:cs="宋体"/>
                <w:color w:val="000000"/>
                <w:szCs w:val="21"/>
              </w:rPr>
              <w:t>长春中医药大学附属第三临床医院/刘钟华</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16A5AE91">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eastAsia="zh-CN"/>
              </w:rPr>
              <w:t>“骨形成不全症、高胱氨酸尿、Marian症候群和引起低骨量的先天性疾病。”</w:t>
            </w:r>
            <w:r>
              <w:rPr>
                <w:rFonts w:hint="eastAsia" w:ascii="宋体" w:hAnsi="宋体" w:eastAsia="宋体" w:cs="宋体"/>
                <w:color w:val="000000"/>
                <w:szCs w:val="21"/>
                <w:lang w:val="en-US" w:eastAsia="zh-CN"/>
              </w:rPr>
              <w:t>建议修改为“</w:t>
            </w:r>
            <w:r>
              <w:rPr>
                <w:rFonts w:hint="eastAsia" w:ascii="宋体" w:hAnsi="宋体" w:eastAsia="宋体" w:cs="宋体"/>
                <w:sz w:val="21"/>
                <w:szCs w:val="20"/>
                <w:lang w:val="en-US" w:eastAsia="zh-CN"/>
              </w:rPr>
              <w:t>骨形成不全症、高胱氨酸尿、Marian症候群等先天性疾病，以及引起低骨量的其他先天性疾病，都可能导致骨质疏松。</w:t>
            </w:r>
            <w:r>
              <w:rPr>
                <w:rFonts w:hint="eastAsia" w:ascii="宋体" w:hAnsi="宋体" w:eastAsia="宋体" w:cs="宋体"/>
                <w:color w:val="000000"/>
                <w:szCs w:val="21"/>
                <w:lang w:val="en-US" w:eastAsia="zh-CN"/>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64B31BE9">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364A16A8">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1BDC90B6">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3C6B2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542EE10C">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6F76867B">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6.9 其他</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1AF1DA17">
            <w:pPr>
              <w:jc w:val="both"/>
              <w:rPr>
                <w:rFonts w:hint="eastAsia" w:ascii="宋体" w:hAnsi="宋体" w:eastAsia="宋体" w:cs="宋体"/>
                <w:color w:val="000000"/>
                <w:szCs w:val="21"/>
              </w:rPr>
            </w:pPr>
            <w:r>
              <w:rPr>
                <w:rFonts w:hint="eastAsia" w:ascii="宋体" w:hAnsi="宋体" w:eastAsia="宋体" w:cs="宋体"/>
                <w:color w:val="000000"/>
                <w:szCs w:val="21"/>
              </w:rPr>
              <w:t>天津中医药大学第一附属医院/刘爱峰</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410AB1A6">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女性绝经、老龄（女性&gt;65岁，男性&gt;70岁）等。”建议修改为“女性绝经、老龄（女性&gt;65岁，男性&gt;70岁）和低体重（BMI&lt;18）均是易患骨质疏松的发病因素。如绝经后女性由于雌激素水平下降，骨质流失加速，而低体重的人群骨量相对较少，更容易发生骨质疏松。”</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44B26039">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6E90329B">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2AF73051">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45635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1E1074D6">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1DE499C9">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7.1 骨质疏松风险人群筛查流程</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6FB874F6">
            <w:pPr>
              <w:jc w:val="both"/>
              <w:rPr>
                <w:rFonts w:hint="eastAsia" w:ascii="宋体" w:hAnsi="宋体" w:eastAsia="宋体" w:cs="宋体"/>
                <w:color w:val="000000"/>
                <w:szCs w:val="21"/>
              </w:rPr>
            </w:pPr>
            <w:r>
              <w:rPr>
                <w:rFonts w:hint="eastAsia" w:ascii="宋体" w:hAnsi="宋体" w:eastAsia="宋体" w:cs="宋体"/>
                <w:color w:val="000000"/>
                <w:szCs w:val="21"/>
              </w:rPr>
              <w:t>西南医科大学/郝琦</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0D27F2AF">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eastAsia="zh-CN"/>
              </w:rPr>
              <w:t>“</w:t>
            </w:r>
            <w:r>
              <w:rPr>
                <w:rFonts w:hint="eastAsia" w:ascii="宋体" w:hAnsi="宋体" w:eastAsia="宋体" w:cs="宋体"/>
                <w:color w:val="000000"/>
                <w:szCs w:val="21"/>
              </w:rPr>
              <w:t>基本信息、身高体重、身高降低、骨质疏松性骨折史等——IOF一分钟问卷、OSTA</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中医评估</w:t>
            </w:r>
            <w:r>
              <w:rPr>
                <w:rFonts w:hint="eastAsia" w:ascii="宋体" w:hAnsi="宋体" w:eastAsia="宋体" w:cs="宋体"/>
                <w:color w:val="000000"/>
                <w:szCs w:val="21"/>
              </w:rPr>
              <w:t>——超声骨密度（有条件直接DXA或QCT）——DXA或QCT（腰椎及股骨近端）——FRAX（使用髋部骨密度）——胸腰椎侧位片</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建议用文字逐条描述，即修改为“第一步，收集基本信息，包括身高、体重、身高降低情况以及是否有骨质疏松性骨折史等；第二步，进行IOF骨质疏松风险一分钟测试题、OSTA指数评估以及中医评估等；第三步，进行超声骨密度检测（如有条件可直接进行DXA或QCT检测）；第四步，采用DXA或QCT检测腰椎及股骨近端的骨密度；第五步，利用FRAX®工具计算骨折风险（需使用髋部骨密度数据）；第六步，进行胸腰椎侧位X线检查。”</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084ADD1A">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3F752512">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3CD5BC9E">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35E86D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7C97DFB1">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2E1229D7">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7.4 骨折风险预测简易工具 (FRAX®)</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25A64413">
            <w:pPr>
              <w:jc w:val="both"/>
              <w:rPr>
                <w:rFonts w:hint="eastAsia" w:ascii="宋体" w:hAnsi="宋体" w:eastAsia="宋体" w:cs="宋体"/>
                <w:color w:val="000000"/>
                <w:szCs w:val="21"/>
              </w:rPr>
            </w:pPr>
            <w:r>
              <w:rPr>
                <w:rFonts w:hint="eastAsia" w:ascii="宋体" w:hAnsi="宋体" w:eastAsia="宋体" w:cs="宋体"/>
                <w:color w:val="000000"/>
                <w:szCs w:val="21"/>
              </w:rPr>
              <w:t>安徽中医药大学第三附属医院/杨永晖</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43A099C1">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建议补充网址链接，即修改为“对于骨量减少人群计算10年发生髋部骨折及任何重要的骨质疏松性骨折发生概率。可以通过以下网址获得：https://www.sheffield.ac.uk/FRAX/”</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5497027A">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5AA542B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05A0116E">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77C03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59342FA9">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069CB3E8">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7.5 骨质疏松性骨折 </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3904E1F3">
            <w:pPr>
              <w:jc w:val="both"/>
              <w:rPr>
                <w:rFonts w:hint="eastAsia" w:ascii="宋体" w:hAnsi="宋体" w:eastAsia="宋体" w:cs="宋体"/>
                <w:color w:val="000000"/>
                <w:szCs w:val="21"/>
              </w:rPr>
            </w:pPr>
            <w:r>
              <w:rPr>
                <w:rFonts w:hint="eastAsia" w:ascii="宋体" w:hAnsi="宋体" w:eastAsia="宋体" w:cs="宋体"/>
                <w:color w:val="000000"/>
                <w:szCs w:val="21"/>
              </w:rPr>
              <w:t>海南省人民医院/王广积</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580653CC">
            <w:pPr>
              <w:jc w:val="both"/>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 xml:space="preserve">通过询问身高变化、临床症状、骨折病史、胸腰椎X线检查相结合的方法，筛查骨质疏松性骨折患者。 </w:t>
            </w:r>
          </w:p>
          <w:p w14:paraId="055FD350">
            <w:pPr>
              <w:jc w:val="both"/>
              <w:rPr>
                <w:rFonts w:hint="eastAsia" w:ascii="宋体" w:hAnsi="宋体" w:eastAsia="宋体" w:cs="宋体"/>
                <w:color w:val="000000"/>
                <w:szCs w:val="21"/>
              </w:rPr>
            </w:pPr>
            <w:r>
              <w:rPr>
                <w:rFonts w:hint="eastAsia" w:ascii="宋体" w:hAnsi="宋体" w:eastAsia="宋体" w:cs="宋体"/>
                <w:color w:val="000000"/>
                <w:szCs w:val="21"/>
              </w:rPr>
              <w:t xml:space="preserve">1）骨质疏松性骨折病史； </w:t>
            </w:r>
          </w:p>
          <w:p w14:paraId="49C68B56">
            <w:pPr>
              <w:jc w:val="both"/>
              <w:rPr>
                <w:rFonts w:hint="eastAsia" w:ascii="宋体" w:hAnsi="宋体" w:eastAsia="宋体" w:cs="宋体"/>
                <w:color w:val="000000"/>
                <w:szCs w:val="21"/>
              </w:rPr>
            </w:pPr>
            <w:r>
              <w:rPr>
                <w:rFonts w:hint="eastAsia" w:ascii="宋体" w:hAnsi="宋体" w:eastAsia="宋体" w:cs="宋体"/>
                <w:color w:val="000000"/>
                <w:szCs w:val="21"/>
              </w:rPr>
              <w:t xml:space="preserve">2）胸腰椎X线检查（侧位）：对身高明显降低、有腰背疼痛病史、绝经后女性和50岁以上男性进行[4]，基于胸腰椎侧位X线影像并采用Genant目视半定量判定方法[9]； </w:t>
            </w:r>
          </w:p>
          <w:p w14:paraId="455C727A">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rPr>
              <w:t>无外伤史、经X线检查发现的胸腰椎骨折，判定为骨质疏松性骨折；</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建议进一步细化描述；</w:t>
            </w:r>
          </w:p>
          <w:p w14:paraId="78E69A93">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即修改为“通过综合运用病史询问、临床症状评估以及影像学检查等方法，对骨质疏松性骨折患者进行筛查。具体步骤如下：</w:t>
            </w:r>
          </w:p>
          <w:p w14:paraId="74B2AA01">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7.5.1 病史询问</w:t>
            </w:r>
          </w:p>
          <w:p w14:paraId="41ED0FB5">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（1）详细询问患者是否存在骨质疏松性骨折病史，包括既往的骨折部位、时间及治疗情况；</w:t>
            </w:r>
          </w:p>
          <w:p w14:paraId="34BE69C7">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（2）了解患者是否有身高明显降低的情况，特别是近期是否有驼背加重或身高缩短超过3cm；</w:t>
            </w:r>
          </w:p>
          <w:p w14:paraId="45453E46">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（3）询问患者是否存在腰背疼痛病史，尤其是无明显外伤诱因的持续性疼痛；</w:t>
            </w:r>
          </w:p>
          <w:p w14:paraId="7B42AF08">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（4）针对绝经后女性和50岁以上男性，重点询问其骨折风险因素，如家族骨质疏松史、长期使用糖皮质激素等。</w:t>
            </w:r>
          </w:p>
          <w:p w14:paraId="6212DBC1">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7.5.2 影像学检查</w:t>
            </w:r>
          </w:p>
          <w:p w14:paraId="2F850E28">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对于上述高危人群，建议接受胸腰椎侧位X线检查。</w:t>
            </w:r>
          </w:p>
          <w:p w14:paraId="325EE757">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采用Genant目视半定量判定方法[13]，对胸腰椎侧位X线影像进行评估。</w:t>
            </w:r>
          </w:p>
          <w:p w14:paraId="2E10BDC3">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若患者无明确外伤史，但在X线检查中发现胸腰椎骨折，则可判定为骨质疏松性骨折。”</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7FA5520E">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410CEEC9">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32338A88">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65F280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0FCBA031">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14FF943C">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7.6.2 QCT</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46DA8C67">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黑龙江中医药大学附属第二医院/张杰</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4181CCB1">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建议修改为“7.6.2 定量计算机断层扫描（QCT）”；</w:t>
            </w:r>
          </w:p>
          <w:p w14:paraId="6A662C31">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sz w:val="21"/>
                <w:szCs w:val="20"/>
                <w:lang w:val="en-US" w:eastAsia="zh-CN"/>
              </w:rPr>
              <w:t>“QCT骨密度检测是CT扫描检测的体积骨密度，准确性更高”，建议修改为“QCT通过三维体积骨密度测量，具有更高的空间分辨率和准确性”。</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00322CA3">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72D088F7">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7F8F0A5C">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6E72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66778704">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74E3E6A9">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7.7 骨代谢标志物</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34237703">
            <w:pPr>
              <w:jc w:val="both"/>
              <w:rPr>
                <w:rFonts w:hint="eastAsia" w:ascii="宋体" w:hAnsi="宋体" w:eastAsia="宋体" w:cs="宋体"/>
                <w:color w:val="000000"/>
                <w:szCs w:val="21"/>
              </w:rPr>
            </w:pPr>
            <w:r>
              <w:rPr>
                <w:rFonts w:hint="eastAsia" w:ascii="宋体" w:hAnsi="宋体" w:eastAsia="宋体" w:cs="宋体"/>
                <w:color w:val="000000"/>
                <w:szCs w:val="21"/>
              </w:rPr>
              <w:t>河南省中医院/张董喆</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4929FEF1">
            <w:pPr>
              <w:jc w:val="both"/>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建议增加</w:t>
            </w:r>
            <w:r>
              <w:rPr>
                <w:rFonts w:hint="eastAsia" w:ascii="宋体" w:hAnsi="宋体" w:eastAsia="宋体" w:cs="宋体"/>
                <w:color w:val="000000"/>
                <w:szCs w:val="21"/>
                <w:lang w:eastAsia="zh-CN"/>
              </w:rPr>
              <w:t>“</w:t>
            </w:r>
            <w:r>
              <w:rPr>
                <w:rFonts w:hint="eastAsia" w:ascii="宋体" w:hAnsi="宋体" w:eastAsia="宋体" w:cs="宋体"/>
                <w:color w:val="000000"/>
                <w:szCs w:val="21"/>
              </w:rPr>
              <w:t>推荐骨质疏松患者定期检查以下指标：空腹血清P1NP、S-CTX、血钙、血磷和25羟维生素D。</w:t>
            </w:r>
            <w:r>
              <w:rPr>
                <w:rFonts w:hint="eastAsia" w:ascii="宋体" w:hAnsi="宋体" w:eastAsia="宋体" w:cs="宋体"/>
                <w:color w:val="000000"/>
                <w:szCs w:val="21"/>
                <w:lang w:eastAsia="zh-CN"/>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7C435ECF">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4B9479E6">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2D09B933">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4A190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350D9A58">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7C1ECD8D">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7.8 骨质疏松高风险人群中医评估 </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45292020">
            <w:pPr>
              <w:jc w:val="both"/>
              <w:rPr>
                <w:rFonts w:hint="eastAsia" w:ascii="宋体" w:hAnsi="宋体" w:eastAsia="宋体" w:cs="宋体"/>
                <w:color w:val="000000"/>
                <w:szCs w:val="21"/>
              </w:rPr>
            </w:pPr>
            <w:r>
              <w:rPr>
                <w:rFonts w:hint="eastAsia" w:ascii="宋体" w:hAnsi="宋体" w:eastAsia="宋体" w:cs="宋体"/>
                <w:color w:val="000000"/>
                <w:szCs w:val="21"/>
              </w:rPr>
              <w:t>广州中医药大学第二临床医学院/许树柴</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00F1B081">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建议补充参考文献“[19]曾令烽,杨伟毅,梁桂洪,</w:t>
            </w:r>
            <w:r>
              <w:rPr>
                <w:rFonts w:hint="eastAsia" w:ascii="宋体" w:hAnsi="宋体" w:cs="宋体"/>
                <w:color w:val="000000"/>
                <w:szCs w:val="21"/>
                <w:lang w:val="en-US" w:eastAsia="zh-CN"/>
              </w:rPr>
              <w:t>等</w:t>
            </w:r>
            <w:r>
              <w:rPr>
                <w:rFonts w:hint="eastAsia" w:ascii="宋体" w:hAnsi="宋体" w:eastAsia="宋体" w:cs="宋体"/>
                <w:color w:val="000000"/>
                <w:szCs w:val="21"/>
                <w:lang w:val="en-US" w:eastAsia="zh-CN"/>
              </w:rPr>
              <w:t>.骨质疏松高危人群中医症状评估专家问卷调查和结果研究[J].中国全科医学,2023,26(24):2986-2991. [20]中华中医药学会.骨质疏松高风险人群中医辨识规范[J].中医正骨, 2025, 37(02): 1-3.”</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5CB4681B">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36252AD3">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68A2F719">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10E3A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25D3B60A">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130D3FCA">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8.1.1 生活方式综合干预</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57D35085">
            <w:pPr>
              <w:jc w:val="both"/>
              <w:rPr>
                <w:rFonts w:hint="eastAsia" w:ascii="宋体" w:hAnsi="宋体" w:eastAsia="宋体" w:cs="宋体"/>
                <w:color w:val="000000"/>
                <w:szCs w:val="21"/>
              </w:rPr>
            </w:pPr>
            <w:r>
              <w:rPr>
                <w:rFonts w:hint="eastAsia" w:ascii="宋体" w:hAnsi="宋体" w:eastAsia="宋体" w:cs="宋体"/>
                <w:color w:val="000000"/>
                <w:szCs w:val="21"/>
              </w:rPr>
              <w:t>江西中医药大学附属医院/余兆仲</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5E247D6B">
            <w:pPr>
              <w:jc w:val="both"/>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高钙低盐，均衡膳食：建议摄入富含钙、低盐、低糖和适量蛋白质的均衡膳食。推荐每日蛋白质摄入量为0.8～1.0g/kg体质量，并每天摄入牛奶300mL或相当量的奶制品。”“限量饮用咖啡、浓茶、碳酸饮料：每天咖啡因摄入量不超过300mg（1～2杯咖啡）。”</w:t>
            </w:r>
          </w:p>
          <w:p w14:paraId="0612092B">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建议合并为“饮食调整”，即修改为：</w:t>
            </w:r>
          </w:p>
          <w:p w14:paraId="412E10B0">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“饮食调整</w:t>
            </w:r>
          </w:p>
          <w:p w14:paraId="169AFBF3">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采用高钙低盐的饮食方式，摄入富含钙、低盐且适量蛋白质的均衡膳食。建议每日蛋白质摄入量为每千克体重0.8～1.0克，每天饮用300毫升牛奶或相当于此量的奶制品；</w:t>
            </w:r>
          </w:p>
          <w:p w14:paraId="297B10BC">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减少咖啡、浓茶和碳酸饮料的过量摄入，每天的咖啡因摄入量应控制在300毫克以内，大约相当于1～2杯咖啡的量。”</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0AE9F0F4">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4D08D91C">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66762539">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7025B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208015CC">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67C11C50">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8.1.1 生活方式综合干预</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31152B5D">
            <w:pPr>
              <w:jc w:val="both"/>
              <w:rPr>
                <w:rFonts w:hint="eastAsia" w:ascii="宋体" w:hAnsi="宋体" w:eastAsia="宋体" w:cs="宋体"/>
                <w:color w:val="000000"/>
                <w:szCs w:val="21"/>
              </w:rPr>
            </w:pPr>
            <w:r>
              <w:rPr>
                <w:rFonts w:hint="eastAsia" w:ascii="宋体" w:hAnsi="宋体" w:eastAsia="宋体" w:cs="宋体"/>
                <w:color w:val="000000"/>
                <w:szCs w:val="21"/>
              </w:rPr>
              <w:t>湖北中医药大学针灸骨伤学院/彭锐</w:t>
            </w:r>
            <w:bookmarkStart w:id="0" w:name="_GoBack"/>
            <w:bookmarkEnd w:id="0"/>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203AF9CB">
            <w:pPr>
              <w:numPr>
                <w:ilvl w:val="0"/>
                <w:numId w:val="0"/>
              </w:numPr>
              <w:jc w:val="both"/>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 xml:space="preserve">“（5）戒烟。 </w:t>
            </w:r>
          </w:p>
          <w:p w14:paraId="59A3978A">
            <w:pPr>
              <w:numPr>
                <w:ilvl w:val="0"/>
                <w:numId w:val="3"/>
              </w:num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eastAsia="zh-CN"/>
              </w:rPr>
              <w:t>限酒：每周饮酒量不超过啤酒500ml、或葡萄酒200ml、或白酒50ml。</w:t>
            </w:r>
            <w:r>
              <w:rPr>
                <w:rFonts w:hint="eastAsia" w:ascii="宋体" w:hAnsi="宋体" w:eastAsia="宋体" w:cs="宋体"/>
                <w:color w:val="000000"/>
                <w:szCs w:val="21"/>
                <w:lang w:val="en-US" w:eastAsia="zh-CN"/>
              </w:rPr>
              <w:t>”</w:t>
            </w:r>
          </w:p>
          <w:p w14:paraId="0707E2B0">
            <w:pPr>
              <w:numPr>
                <w:ilvl w:val="0"/>
                <w:numId w:val="0"/>
              </w:numPr>
              <w:jc w:val="both"/>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建议合并为“</w:t>
            </w:r>
            <w:r>
              <w:rPr>
                <w:rFonts w:hint="eastAsia" w:ascii="宋体" w:hAnsi="宋体" w:eastAsia="宋体" w:cs="宋体"/>
                <w:color w:val="000000"/>
                <w:szCs w:val="21"/>
                <w:lang w:eastAsia="zh-CN"/>
              </w:rPr>
              <w:t>戒烟限酒</w:t>
            </w:r>
            <w:r>
              <w:rPr>
                <w:rFonts w:hint="eastAsia" w:ascii="宋体" w:hAnsi="宋体" w:eastAsia="宋体" w:cs="宋体"/>
                <w:color w:val="000000"/>
                <w:szCs w:val="21"/>
                <w:lang w:val="en-US" w:eastAsia="zh-CN"/>
              </w:rPr>
              <w:t>”，即修改为：</w:t>
            </w:r>
          </w:p>
          <w:p w14:paraId="2125F219">
            <w:pPr>
              <w:numPr>
                <w:ilvl w:val="0"/>
                <w:numId w:val="0"/>
              </w:numPr>
              <w:jc w:val="both"/>
              <w:rPr>
                <w:rFonts w:hint="eastAsia" w:ascii="宋体" w:hAnsi="宋体" w:eastAsia="宋体" w:cs="宋体"/>
                <w:color w:val="000000"/>
                <w:szCs w:val="21"/>
                <w:lang w:eastAsia="zh-CN"/>
              </w:rPr>
            </w:pPr>
            <w:r>
              <w:rPr>
                <w:rFonts w:hint="eastAsia" w:ascii="宋体" w:hAnsi="宋体" w:cs="宋体"/>
                <w:color w:val="000000"/>
                <w:szCs w:val="21"/>
                <w:lang w:eastAsia="zh-CN"/>
              </w:rPr>
              <w:t>“</w:t>
            </w:r>
            <w:r>
              <w:rPr>
                <w:rFonts w:hint="eastAsia" w:ascii="宋体" w:hAnsi="宋体" w:eastAsia="宋体" w:cs="宋体"/>
                <w:color w:val="000000"/>
                <w:szCs w:val="21"/>
                <w:lang w:eastAsia="zh-CN"/>
              </w:rPr>
              <w:t>（5）戒烟限酒</w:t>
            </w:r>
          </w:p>
          <w:p w14:paraId="12D9483F">
            <w:pPr>
              <w:numPr>
                <w:ilvl w:val="0"/>
                <w:numId w:val="0"/>
              </w:numPr>
              <w:jc w:val="both"/>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戒烟：吸烟会对骨骼产生负面影响，应予以避免；限酒：男性每周饮酒量应不超过啤酒500毫升、葡萄酒200毫升或白酒50毫升，女性则应减半。</w:t>
            </w:r>
            <w:r>
              <w:rPr>
                <w:rFonts w:hint="eastAsia" w:ascii="宋体" w:hAnsi="宋体" w:cs="宋体"/>
                <w:color w:val="000000"/>
                <w:szCs w:val="21"/>
                <w:lang w:eastAsia="zh-CN"/>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1E3629F6">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52EB118E">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7973D461">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0F8F9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4D065C85">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1F3A85F2">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8.1.1 生活方式综合干预</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08147B24">
            <w:pPr>
              <w:jc w:val="both"/>
              <w:rPr>
                <w:rFonts w:hint="eastAsia" w:ascii="宋体" w:hAnsi="宋体" w:eastAsia="宋体" w:cs="宋体"/>
                <w:color w:val="000000"/>
                <w:szCs w:val="21"/>
              </w:rPr>
            </w:pPr>
            <w:r>
              <w:rPr>
                <w:rFonts w:hint="eastAsia" w:ascii="宋体" w:hAnsi="宋体" w:eastAsia="宋体" w:cs="宋体"/>
                <w:color w:val="000000"/>
                <w:szCs w:val="21"/>
              </w:rPr>
              <w:t>内蒙古医科大学/郑雷刚</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66F5F6A8">
            <w:pPr>
              <w:jc w:val="both"/>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建议“</w:t>
            </w:r>
            <w:r>
              <w:rPr>
                <w:rFonts w:hint="eastAsia" w:ascii="宋体" w:hAnsi="宋体" w:eastAsia="宋体" w:cs="宋体"/>
                <w:color w:val="000000"/>
                <w:szCs w:val="21"/>
              </w:rPr>
              <w:t>避免影响骨代谢的药物</w:t>
            </w:r>
            <w:r>
              <w:rPr>
                <w:rFonts w:hint="eastAsia" w:ascii="宋体" w:hAnsi="宋体" w:eastAsia="宋体" w:cs="宋体"/>
                <w:color w:val="000000"/>
                <w:szCs w:val="21"/>
                <w:lang w:val="en-US" w:eastAsia="zh-CN"/>
              </w:rPr>
              <w:t>”补充“</w:t>
            </w:r>
            <w:r>
              <w:rPr>
                <w:rFonts w:hint="eastAsia" w:ascii="宋体" w:hAnsi="宋体" w:eastAsia="宋体" w:cs="宋体"/>
                <w:color w:val="000000"/>
                <w:szCs w:val="21"/>
              </w:rPr>
              <w:t>含铝制剂、抗癫痫药、质子泵抑制剂</w:t>
            </w:r>
            <w:r>
              <w:rPr>
                <w:rFonts w:hint="eastAsia" w:ascii="宋体" w:hAnsi="宋体" w:eastAsia="宋体" w:cs="宋体"/>
                <w:color w:val="000000"/>
                <w:szCs w:val="21"/>
                <w:lang w:val="en-US" w:eastAsia="zh-CN"/>
              </w:rPr>
              <w:t>”，即修改为“</w:t>
            </w:r>
            <w:r>
              <w:rPr>
                <w:rFonts w:hint="eastAsia" w:ascii="宋体" w:hAnsi="宋体" w:eastAsia="宋体" w:cs="宋体"/>
                <w:color w:val="000000"/>
                <w:szCs w:val="21"/>
              </w:rPr>
              <w:t>避免影响骨代谢的药物</w:t>
            </w:r>
            <w:r>
              <w:rPr>
                <w:rFonts w:hint="eastAsia" w:ascii="宋体" w:hAnsi="宋体" w:eastAsia="宋体" w:cs="宋体"/>
                <w:color w:val="000000"/>
                <w:szCs w:val="21"/>
                <w:lang w:eastAsia="zh-CN"/>
              </w:rPr>
              <w:t>：</w:t>
            </w:r>
          </w:p>
          <w:p w14:paraId="385C6CD5">
            <w:pPr>
              <w:jc w:val="both"/>
              <w:rPr>
                <w:rFonts w:hint="eastAsia" w:ascii="宋体" w:hAnsi="宋体" w:eastAsia="宋体" w:cs="宋体"/>
                <w:color w:val="000000"/>
                <w:szCs w:val="21"/>
                <w:lang w:eastAsia="zh-CN"/>
              </w:rPr>
            </w:pPr>
            <w:r>
              <w:rPr>
                <w:rFonts w:hint="eastAsia" w:ascii="宋体" w:hAnsi="宋体" w:eastAsia="宋体" w:cs="宋体"/>
                <w:color w:val="000000"/>
                <w:szCs w:val="21"/>
              </w:rPr>
              <w:t>尽可能避免或减少使用可能影响骨代谢的药物，如糖皮质激素、免疫抑制剂、抗病毒药物、含铝制剂、抗癫痫药、质子泵抑制剂等。</w:t>
            </w:r>
            <w:r>
              <w:rPr>
                <w:rFonts w:hint="eastAsia" w:ascii="宋体" w:hAnsi="宋体" w:eastAsia="宋体" w:cs="宋体"/>
                <w:color w:val="000000"/>
                <w:szCs w:val="21"/>
                <w:lang w:eastAsia="zh-CN"/>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66069E08">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7186054C">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3B840CF8">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7241E2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5F9AA2B6">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31417406">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8.1.2 西药治疗</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5DA6B6CF">
            <w:pPr>
              <w:jc w:val="both"/>
              <w:rPr>
                <w:rFonts w:hint="eastAsia" w:ascii="宋体" w:hAnsi="宋体" w:eastAsia="宋体" w:cs="宋体"/>
                <w:color w:val="000000"/>
                <w:szCs w:val="21"/>
              </w:rPr>
            </w:pPr>
            <w:r>
              <w:rPr>
                <w:rFonts w:hint="eastAsia" w:ascii="宋体" w:hAnsi="宋体" w:eastAsia="宋体" w:cs="宋体"/>
                <w:color w:val="000000"/>
                <w:szCs w:val="21"/>
              </w:rPr>
              <w:t>山东中医药大学附属医院/谭国庆</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7E776BAB">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eastAsia="zh-CN"/>
              </w:rPr>
              <w:t>“</w:t>
            </w:r>
            <w:r>
              <w:rPr>
                <w:rFonts w:hint="eastAsia" w:ascii="宋体" w:hAnsi="宋体" w:eastAsia="宋体" w:cs="宋体"/>
                <w:color w:val="000000"/>
                <w:szCs w:val="21"/>
              </w:rPr>
              <w:t>一般仅使用钙剂+活性维生素D。成人每日钙推荐摄入量800mg（元素钙），50岁及以上人群每日钙推荐摄入量为1000～1200mg。成人推荐维生素D摄入量为400U（10μg）/d；65岁及以上老年人因缺乏日照以及摄入和吸收障碍常有维生素D缺乏，推荐摄入量为600U（15μg）/d；可耐受最高摄入量为2000U（50μg）/d；维生素D用于骨质疏松防治时，剂量可为800～1200U/d。</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建议细化为“基础补充剂”和“抗骨质疏松药物”，即修改为：</w:t>
            </w:r>
          </w:p>
          <w:p w14:paraId="69D01C8F">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“（1）基础补充剂：</w:t>
            </w:r>
          </w:p>
          <w:p w14:paraId="0706B59F">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钙剂：成人每日钙摄入量800mg（元素钙），50岁以上人群1000</w:t>
            </w:r>
            <w:r>
              <w:rPr>
                <w:rFonts w:hint="eastAsia" w:ascii="宋体" w:hAnsi="宋体" w:eastAsia="宋体" w:cs="宋体"/>
                <w:sz w:val="21"/>
                <w:szCs w:val="20"/>
                <w:lang w:eastAsia="zh-Hans"/>
              </w:rPr>
              <w:t>～</w:t>
            </w:r>
            <w:r>
              <w:rPr>
                <w:rFonts w:hint="eastAsia" w:ascii="宋体" w:hAnsi="宋体" w:eastAsia="宋体" w:cs="宋体"/>
                <w:color w:val="000000"/>
                <w:szCs w:val="21"/>
                <w:lang w:val="en-US" w:eastAsia="zh-CN"/>
              </w:rPr>
              <w:t>1200mg。优先通过饮食补充，不足时可加钙剂；</w:t>
            </w:r>
          </w:p>
          <w:p w14:paraId="0DCAE715">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维生素D：成人400U/d，65岁以上老年人600U/d，最高耐受量2000U/d。用于骨质疏松防治时，剂量为800</w:t>
            </w:r>
            <w:r>
              <w:rPr>
                <w:rFonts w:hint="eastAsia" w:ascii="宋体" w:hAnsi="宋体" w:eastAsia="宋体" w:cs="宋体"/>
                <w:sz w:val="21"/>
                <w:szCs w:val="20"/>
                <w:lang w:eastAsia="zh-Hans"/>
              </w:rPr>
              <w:t>～</w:t>
            </w:r>
            <w:r>
              <w:rPr>
                <w:rFonts w:hint="eastAsia" w:ascii="宋体" w:hAnsi="宋体" w:eastAsia="宋体" w:cs="宋体"/>
                <w:color w:val="000000"/>
                <w:szCs w:val="21"/>
                <w:lang w:val="en-US" w:eastAsia="zh-CN"/>
              </w:rPr>
              <w:t>1200U/d。</w:t>
            </w:r>
          </w:p>
          <w:p w14:paraId="26DD2FFA">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（2）抗骨质疏松药物：</w:t>
            </w:r>
          </w:p>
          <w:p w14:paraId="6C5FFDD6">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骨吸收抑制剂：双膦酸盐类（如阿仑膦酸钠、唑来膦酸）和地舒单抗，通过抑制骨吸收增加骨密度，降低骨折风险。  </w:t>
            </w:r>
          </w:p>
          <w:p w14:paraId="1BCE2141">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 xml:space="preserve">骨形成促进剂：特立帕肽，刺激骨形成，降低骨折风险。  </w:t>
            </w:r>
          </w:p>
          <w:p w14:paraId="082DF09B">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其他药物：降钙素缓解骨痛，雷洛昔芬抑制骨吸收且降低乳腺癌风险，活性维生素D促进骨矿化和吸收。”</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549AA0B3">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1A4EFF3D">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5ADF4665">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2278C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0361AA31">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4B163F65">
            <w:pPr>
              <w:jc w:val="both"/>
              <w:rPr>
                <w:rFonts w:hint="eastAsia" w:ascii="宋体" w:hAnsi="宋体" w:eastAsia="宋体" w:cs="宋体"/>
                <w:color w:val="000000"/>
                <w:kern w:val="2"/>
                <w:sz w:val="21"/>
                <w:szCs w:val="21"/>
                <w:lang w:val="en-US" w:eastAsia="zh-CN" w:bidi="ar-SA"/>
              </w:rPr>
            </w:pP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5E5DB3D3">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广东省第二中医院（广东省中医药工程技术研究院）/吴淮</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71CE7894">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回复无意见</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03AC3ECA">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295E9676">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606D7D9B">
            <w:pPr>
              <w:jc w:val="both"/>
              <w:rPr>
                <w:rFonts w:hint="eastAsia" w:ascii="宋体" w:hAnsi="宋体" w:eastAsia="宋体" w:cs="宋体"/>
                <w:color w:val="000000"/>
                <w:kern w:val="2"/>
                <w:sz w:val="21"/>
                <w:szCs w:val="21"/>
                <w:lang w:val="en-US" w:eastAsia="zh-CN" w:bidi="ar-SA"/>
              </w:rPr>
            </w:pPr>
          </w:p>
        </w:tc>
      </w:tr>
      <w:tr w14:paraId="5949B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47618755">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352E8EB0">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8.2.7.1 生活护理</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5DEADA26">
            <w:pPr>
              <w:jc w:val="both"/>
              <w:rPr>
                <w:rFonts w:hint="eastAsia" w:ascii="宋体" w:hAnsi="宋体" w:eastAsia="宋体" w:cs="宋体"/>
                <w:color w:val="000000"/>
                <w:szCs w:val="21"/>
              </w:rPr>
            </w:pPr>
            <w:r>
              <w:rPr>
                <w:rFonts w:hint="eastAsia" w:ascii="宋体" w:hAnsi="宋体" w:eastAsia="宋体" w:cs="宋体"/>
                <w:color w:val="000000"/>
                <w:szCs w:val="21"/>
              </w:rPr>
              <w:t>山西中医药大学附属医院/王轩</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6DC5F137">
            <w:pPr>
              <w:jc w:val="both"/>
              <w:rPr>
                <w:rFonts w:hint="eastAsia" w:ascii="宋体" w:hAnsi="宋体" w:eastAsia="宋体" w:cs="宋体"/>
                <w:color w:val="000000"/>
                <w:szCs w:val="21"/>
              </w:rPr>
            </w:pPr>
            <w:r>
              <w:rPr>
                <w:rFonts w:hint="eastAsia" w:ascii="宋体" w:hAnsi="宋体" w:eastAsia="宋体" w:cs="宋体"/>
                <w:color w:val="000000"/>
                <w:szCs w:val="21"/>
                <w:lang w:val="en-US" w:eastAsia="zh-CN"/>
              </w:rPr>
              <w:t>“（</w:t>
            </w:r>
            <w:r>
              <w:rPr>
                <w:rFonts w:hint="eastAsia" w:ascii="宋体" w:hAnsi="宋体" w:eastAsia="宋体" w:cs="宋体"/>
                <w:color w:val="000000"/>
                <w:szCs w:val="21"/>
              </w:rPr>
              <w:t xml:space="preserve">1）注意保暖及避免寒冷刺激。平时洗用之水宜温；冷暖交替时，注意衣服的添减，睡卧时盖好衣被，避免风寒侵袭。 </w:t>
            </w:r>
          </w:p>
          <w:p w14:paraId="7E26829C">
            <w:pPr>
              <w:jc w:val="both"/>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 xml:space="preserve">2）防止跌倒，除去家中中小地毯或卷边的地毯、突出的家具和丝带物；穿着低跟鞋以得到良好支撑行走；行走时注意凹凸不平的地面、人行道、地板及注意脚下的宠物；注意保养楼梯，两边安装扶手，清理楼梯上的杂物。 </w:t>
            </w:r>
          </w:p>
          <w:p w14:paraId="1C07155E">
            <w:pPr>
              <w:jc w:val="both"/>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 xml:space="preserve">3）注意正在服用的药物有无副作用，有些药物可能引起跌倒的风险增加，比如降压药、安眠药、H2受体阻滞剂等药物。 </w:t>
            </w:r>
          </w:p>
          <w:p w14:paraId="14346B56">
            <w:pPr>
              <w:jc w:val="both"/>
              <w:rPr>
                <w:rFonts w:hint="eastAsia" w:ascii="宋体" w:hAnsi="宋体" w:eastAsia="宋体" w:cs="宋体"/>
                <w:color w:val="000000"/>
                <w:szCs w:val="21"/>
              </w:rPr>
            </w:pPr>
            <w:r>
              <w:rPr>
                <w:rFonts w:hint="eastAsia" w:ascii="宋体" w:hAnsi="宋体" w:eastAsia="宋体" w:cs="宋体"/>
                <w:color w:val="000000"/>
                <w:szCs w:val="21"/>
                <w:lang w:eastAsia="zh-CN"/>
              </w:rPr>
              <w:t>（</w:t>
            </w:r>
            <w:r>
              <w:rPr>
                <w:rFonts w:hint="eastAsia" w:ascii="宋体" w:hAnsi="宋体" w:eastAsia="宋体" w:cs="宋体"/>
                <w:color w:val="000000"/>
                <w:szCs w:val="21"/>
              </w:rPr>
              <w:t xml:space="preserve">4）注意体育锻炼，增加肌肉力量和平衡训练，有助于减少行走时跌倒可能，勿持重物，尽量于光线明亮处行走。 </w:t>
            </w:r>
          </w:p>
          <w:p w14:paraId="20CE6FA9">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eastAsia="zh-CN"/>
              </w:rPr>
              <w:t>（</w:t>
            </w:r>
            <w:r>
              <w:rPr>
                <w:rFonts w:hint="eastAsia" w:ascii="宋体" w:hAnsi="宋体" w:eastAsia="宋体" w:cs="宋体"/>
                <w:color w:val="000000"/>
                <w:szCs w:val="21"/>
              </w:rPr>
              <w:t>5）疼痛明显的患者应卧硬板床休息，鼓励患者多进行户外活动，多晒太阳，应注意减少和避免受伤的可能性。</w:t>
            </w:r>
            <w:r>
              <w:rPr>
                <w:rFonts w:hint="eastAsia" w:ascii="宋体" w:hAnsi="宋体" w:eastAsia="宋体" w:cs="宋体"/>
                <w:color w:val="000000"/>
                <w:szCs w:val="21"/>
                <w:lang w:eastAsia="zh-CN"/>
              </w:rPr>
              <w:t>”</w:t>
            </w:r>
            <w:r>
              <w:rPr>
                <w:rFonts w:hint="eastAsia" w:ascii="宋体" w:hAnsi="宋体" w:eastAsia="宋体" w:cs="宋体"/>
                <w:color w:val="000000"/>
                <w:szCs w:val="21"/>
                <w:lang w:val="en-US" w:eastAsia="zh-CN"/>
              </w:rPr>
              <w:t>建议进一步细化描述，即修改为：“（1）环境与保暖</w:t>
            </w:r>
          </w:p>
          <w:p w14:paraId="6C1526AD">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注意保暖，避免寒冷刺激：平时洗漱和沐浴时应使用温水。在冷暖交替的季节，及时增减衣物，睡卧时盖好被子，避免风寒侵袭。</w:t>
            </w:r>
          </w:p>
          <w:p w14:paraId="7227EA46">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优化居住环境：家中应尽量减少跌倒风险，如移除地面杂物、小地毯或卷边地毯，避免突出的家具和悬挂的丝带等障碍物。保持楼梯和走廊明亮，安装扶手，清理楼梯上的杂物。</w:t>
            </w:r>
          </w:p>
          <w:p w14:paraId="445D4398">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（2）防跌倒措施</w:t>
            </w:r>
          </w:p>
          <w:p w14:paraId="19A83B0F">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穿着与行走：选择低跟鞋，以获得良好的支撑和稳定性，避免穿拖鞋或高跟鞋。行走时注意地面的平整性，避免在凹凸不平的地面、人行道或有宠物的区域行走。</w:t>
            </w:r>
          </w:p>
          <w:p w14:paraId="295ACA13">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辅助设施：在浴室和厨房等易滑倒的区域安装防滑垫，卫生间和楼梯两侧安装扶手。</w:t>
            </w:r>
          </w:p>
          <w:p w14:paraId="0FB16862">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（3）药物与副作用</w:t>
            </w:r>
          </w:p>
          <w:p w14:paraId="1ACB8F0D">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注意正在服用的药物是否存在副作用，某些药物可能增加跌倒风险，如降压药、安眠药、H₂受体阻滞剂等。如有疑问，应及时咨询医生。</w:t>
            </w:r>
          </w:p>
          <w:p w14:paraId="1CAF1AFF">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（4）运动与锻炼</w:t>
            </w:r>
          </w:p>
          <w:p w14:paraId="0719079D">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增强肌肉力量和平衡能力：进行规律的体育锻炼，如负重运动（步行、慢跑、跳舞）、抗阻训练（举重、俯卧撑）和平衡训练（太极、瑜伽）。每周至少进行150分钟中等强度运动或75分钟高强度运动。</w:t>
            </w:r>
          </w:p>
          <w:p w14:paraId="313C08FF">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安全注意事项：避免持重物，尽量在光线明亮处行走，运动前充分热身，选择适合个人体质的运动强度。</w:t>
            </w:r>
          </w:p>
          <w:p w14:paraId="334C26BD">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（5）疼痛与休息</w:t>
            </w:r>
          </w:p>
          <w:p w14:paraId="4EF4F09A">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疼痛管理：对于疼痛明显的患者，可卧硬板床休息，避免长时间保持同一姿势。</w:t>
            </w:r>
          </w:p>
          <w:p w14:paraId="174A330C">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户外活动与晒太阳：鼓励患者多进行户外活动，每天晒太阳15-30分钟，以促进维生素D的合成，帮助钙的吸收。同时，注意避免阳光过强时段，以防皮肤灼伤。</w:t>
            </w:r>
          </w:p>
          <w:p w14:paraId="4F4A9BAC">
            <w:pPr>
              <w:jc w:val="both"/>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减少受伤风险：在日常生活中，注意避免剧烈运动和高风险活动，防止骨折等意外。”</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7CB797FF">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2309256B">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3A8B2F61">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39CBF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3E658917">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53266FC8">
            <w:pPr>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骨质疏松高风险人群干预</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71609A78">
            <w:pPr>
              <w:jc w:val="both"/>
              <w:rPr>
                <w:rFonts w:hint="eastAsia" w:ascii="宋体" w:hAnsi="宋体" w:eastAsia="宋体" w:cs="宋体"/>
                <w:color w:val="000000"/>
                <w:szCs w:val="21"/>
              </w:rPr>
            </w:pPr>
            <w:r>
              <w:rPr>
                <w:rFonts w:hint="eastAsia" w:ascii="宋体" w:hAnsi="宋体" w:eastAsia="宋体" w:cs="宋体"/>
                <w:color w:val="000000"/>
                <w:szCs w:val="21"/>
              </w:rPr>
              <w:t>陕西中医药大学附属医院/桑晓文</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1A6E273C">
            <w:pPr>
              <w:jc w:val="both"/>
              <w:rPr>
                <w:rFonts w:hint="eastAsia" w:ascii="宋体" w:hAnsi="宋体" w:eastAsia="宋体" w:cs="宋体"/>
                <w:color w:val="000000"/>
                <w:szCs w:val="21"/>
                <w:lang w:val="en-US" w:eastAsia="zh-CN"/>
              </w:rPr>
            </w:pPr>
            <w:r>
              <w:rPr>
                <w:rFonts w:hint="eastAsia" w:ascii="宋体" w:hAnsi="宋体" w:eastAsia="宋体" w:cs="宋体"/>
                <w:sz w:val="21"/>
                <w:szCs w:val="22"/>
                <w:lang w:val="en-US" w:eastAsia="zh-CN"/>
              </w:rPr>
              <w:t>针对</w:t>
            </w:r>
            <w:r>
              <w:rPr>
                <w:rFonts w:hint="eastAsia" w:ascii="宋体" w:hAnsi="宋体" w:eastAsia="宋体" w:cs="宋体"/>
                <w:sz w:val="21"/>
                <w:szCs w:val="22"/>
                <w:lang w:eastAsia="zh-CN"/>
              </w:rPr>
              <w:t>“</w:t>
            </w:r>
            <w:r>
              <w:rPr>
                <w:rFonts w:hint="eastAsia" w:ascii="宋体" w:hAnsi="宋体" w:eastAsia="宋体" w:cs="宋体"/>
                <w:sz w:val="21"/>
                <w:szCs w:val="22"/>
                <w:lang w:val="en-US" w:eastAsia="zh-CN"/>
              </w:rPr>
              <w:t>8.1</w:t>
            </w:r>
            <w:r>
              <w:rPr>
                <w:rFonts w:hint="eastAsia" w:ascii="宋体" w:hAnsi="宋体" w:eastAsia="宋体" w:cs="宋体"/>
                <w:sz w:val="21"/>
                <w:szCs w:val="22"/>
                <w:lang w:eastAsia="zh-Hans"/>
              </w:rPr>
              <w:t>未病先防（骨量正常或骨量减少者）</w:t>
            </w:r>
            <w:r>
              <w:rPr>
                <w:rFonts w:hint="eastAsia" w:ascii="宋体" w:hAnsi="宋体" w:eastAsia="宋体" w:cs="宋体"/>
                <w:sz w:val="21"/>
                <w:szCs w:val="22"/>
                <w:lang w:val="en-US" w:eastAsia="zh-CN"/>
              </w:rPr>
              <w:t>”</w:t>
            </w:r>
            <w:r>
              <w:rPr>
                <w:rFonts w:hint="eastAsia" w:ascii="宋体" w:hAnsi="宋体" w:eastAsia="宋体" w:cs="宋体"/>
                <w:sz w:val="21"/>
                <w:szCs w:val="22"/>
                <w:lang w:eastAsia="zh-CN"/>
              </w:rPr>
              <w:t>、“8.2 既病防变（骨质疏松及骨质疏松性骨折者）”“</w:t>
            </w:r>
            <w:r>
              <w:rPr>
                <w:rFonts w:hint="eastAsia" w:ascii="宋体" w:hAnsi="宋体" w:eastAsia="宋体" w:cs="宋体"/>
                <w:sz w:val="21"/>
                <w:szCs w:val="22"/>
                <w:lang w:val="en-US" w:eastAsia="zh-CN"/>
              </w:rPr>
              <w:t>8.3 瘥后防复</w:t>
            </w:r>
            <w:r>
              <w:rPr>
                <w:rFonts w:hint="eastAsia" w:ascii="宋体" w:hAnsi="宋体" w:eastAsia="宋体" w:cs="宋体"/>
                <w:sz w:val="21"/>
                <w:szCs w:val="22"/>
                <w:lang w:eastAsia="zh-CN"/>
              </w:rPr>
              <w:t>”</w:t>
            </w:r>
            <w:r>
              <w:rPr>
                <w:rFonts w:hint="eastAsia" w:ascii="宋体" w:hAnsi="宋体" w:eastAsia="宋体" w:cs="宋体"/>
                <w:sz w:val="21"/>
                <w:szCs w:val="22"/>
                <w:lang w:val="en-US" w:eastAsia="zh-CN"/>
              </w:rPr>
              <w:t>文字描述，建议“生活方式综合干预”可以适当承前省略，即“8.2.1 生活方式综合干预，同 8.1.1 ”“8.3.2 生活方式综合干预，同 8.1.1。”</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171BFF29">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5D77A53D">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76698176">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4CD4C6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3E513C27">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06EB0687">
            <w:pPr>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骨质疏松高风险人群干预</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1027A2DE">
            <w:pPr>
              <w:jc w:val="both"/>
              <w:rPr>
                <w:rFonts w:hint="eastAsia" w:ascii="宋体" w:hAnsi="宋体" w:eastAsia="宋体" w:cs="宋体"/>
                <w:color w:val="000000"/>
                <w:szCs w:val="21"/>
              </w:rPr>
            </w:pPr>
            <w:r>
              <w:rPr>
                <w:rFonts w:hint="eastAsia" w:ascii="宋体" w:hAnsi="宋体" w:eastAsia="宋体" w:cs="宋体"/>
                <w:color w:val="000000"/>
                <w:szCs w:val="21"/>
              </w:rPr>
              <w:t>新疆医科大学/陈平波</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7A73370E">
            <w:pPr>
              <w:jc w:val="both"/>
              <w:rPr>
                <w:rFonts w:hint="eastAsia" w:ascii="宋体" w:hAnsi="宋体" w:eastAsia="宋体" w:cs="宋体"/>
                <w:color w:val="000000"/>
                <w:szCs w:val="21"/>
              </w:rPr>
            </w:pPr>
            <w:r>
              <w:rPr>
                <w:rFonts w:hint="eastAsia" w:ascii="宋体" w:hAnsi="宋体" w:eastAsia="宋体" w:cs="宋体"/>
                <w:sz w:val="21"/>
                <w:szCs w:val="22"/>
                <w:lang w:val="en-US" w:eastAsia="zh-CN"/>
              </w:rPr>
              <w:t>针对</w:t>
            </w:r>
            <w:r>
              <w:rPr>
                <w:rFonts w:hint="eastAsia" w:ascii="宋体" w:hAnsi="宋体" w:eastAsia="宋体" w:cs="宋体"/>
                <w:sz w:val="21"/>
                <w:szCs w:val="22"/>
                <w:lang w:eastAsia="zh-CN"/>
              </w:rPr>
              <w:t>“</w:t>
            </w:r>
            <w:r>
              <w:rPr>
                <w:rFonts w:hint="eastAsia" w:ascii="宋体" w:hAnsi="宋体" w:eastAsia="宋体" w:cs="宋体"/>
                <w:sz w:val="21"/>
                <w:szCs w:val="22"/>
                <w:lang w:val="en-US" w:eastAsia="zh-CN"/>
              </w:rPr>
              <w:t>8.1</w:t>
            </w:r>
            <w:r>
              <w:rPr>
                <w:rFonts w:hint="eastAsia" w:ascii="宋体" w:hAnsi="宋体" w:eastAsia="宋体" w:cs="宋体"/>
                <w:sz w:val="21"/>
                <w:szCs w:val="22"/>
                <w:lang w:eastAsia="zh-Hans"/>
              </w:rPr>
              <w:t>未病先防（骨量正常或骨量减少者）</w:t>
            </w:r>
            <w:r>
              <w:rPr>
                <w:rFonts w:hint="eastAsia" w:ascii="宋体" w:hAnsi="宋体" w:eastAsia="宋体" w:cs="宋体"/>
                <w:sz w:val="21"/>
                <w:szCs w:val="22"/>
                <w:lang w:val="en-US" w:eastAsia="zh-CN"/>
              </w:rPr>
              <w:t>”</w:t>
            </w:r>
            <w:r>
              <w:rPr>
                <w:rFonts w:hint="eastAsia" w:ascii="宋体" w:hAnsi="宋体" w:eastAsia="宋体" w:cs="宋体"/>
                <w:sz w:val="21"/>
                <w:szCs w:val="22"/>
                <w:lang w:eastAsia="zh-CN"/>
              </w:rPr>
              <w:t>、“8.2 既病防变（骨质疏松及骨质疏松性骨折者）”</w:t>
            </w:r>
            <w:r>
              <w:rPr>
                <w:rFonts w:hint="eastAsia" w:ascii="宋体" w:hAnsi="宋体" w:eastAsia="宋体" w:cs="宋体"/>
                <w:sz w:val="21"/>
                <w:szCs w:val="22"/>
                <w:lang w:val="en-US" w:eastAsia="zh-CN"/>
              </w:rPr>
              <w:t>文字描述，建议“</w:t>
            </w:r>
            <w:r>
              <w:rPr>
                <w:rFonts w:hint="eastAsia" w:ascii="宋体" w:hAnsi="宋体" w:eastAsia="宋体" w:cs="宋体"/>
                <w:color w:val="000000"/>
                <w:szCs w:val="21"/>
              </w:rPr>
              <w:t>非药物疗法</w:t>
            </w:r>
            <w:r>
              <w:rPr>
                <w:rFonts w:hint="eastAsia" w:ascii="宋体" w:hAnsi="宋体" w:eastAsia="宋体" w:cs="宋体"/>
                <w:sz w:val="21"/>
                <w:szCs w:val="22"/>
                <w:lang w:val="en-US" w:eastAsia="zh-CN"/>
              </w:rPr>
              <w:t>”可以适当承前省略，即“</w:t>
            </w:r>
            <w:r>
              <w:rPr>
                <w:rFonts w:hint="eastAsia" w:ascii="宋体" w:hAnsi="宋体" w:eastAsia="宋体" w:cs="宋体"/>
                <w:color w:val="000000"/>
                <w:szCs w:val="21"/>
              </w:rPr>
              <w:t>8.2.4 非药物疗法</w:t>
            </w:r>
            <w:r>
              <w:rPr>
                <w:rFonts w:hint="eastAsia" w:ascii="宋体" w:hAnsi="宋体" w:eastAsia="宋体" w:cs="宋体"/>
                <w:color w:val="000000"/>
                <w:szCs w:val="21"/>
                <w:lang w:eastAsia="zh-CN"/>
              </w:rPr>
              <w:t>，</w:t>
            </w:r>
            <w:r>
              <w:rPr>
                <w:rFonts w:hint="eastAsia" w:ascii="宋体" w:hAnsi="宋体" w:eastAsia="宋体" w:cs="宋体"/>
                <w:color w:val="000000"/>
                <w:szCs w:val="21"/>
              </w:rPr>
              <w:t>同 8.1.4。</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 xml:space="preserve"> </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099FEB4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7359B96C">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1836F345">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327A9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0F017203">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00E243AE">
            <w:pPr>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骨质疏松高风险人群干预</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04092B5B">
            <w:pPr>
              <w:jc w:val="both"/>
              <w:rPr>
                <w:rFonts w:hint="eastAsia" w:ascii="宋体" w:hAnsi="宋体" w:eastAsia="宋体" w:cs="宋体"/>
                <w:color w:val="000000"/>
                <w:szCs w:val="21"/>
              </w:rPr>
            </w:pPr>
            <w:r>
              <w:rPr>
                <w:rFonts w:hint="eastAsia" w:ascii="宋体" w:hAnsi="宋体" w:eastAsia="宋体" w:cs="宋体"/>
                <w:color w:val="000000"/>
                <w:szCs w:val="21"/>
              </w:rPr>
              <w:t>云南中医药大学第一附属医院/向俊宜</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0BAA7659">
            <w:pPr>
              <w:jc w:val="both"/>
              <w:rPr>
                <w:rFonts w:hint="eastAsia" w:ascii="宋体" w:hAnsi="宋体" w:eastAsia="宋体" w:cs="宋体"/>
                <w:color w:val="000000"/>
                <w:szCs w:val="21"/>
                <w:lang w:val="en-US" w:eastAsia="zh-CN"/>
              </w:rPr>
            </w:pPr>
            <w:r>
              <w:rPr>
                <w:rFonts w:hint="eastAsia" w:ascii="宋体" w:hAnsi="宋体" w:eastAsia="宋体" w:cs="宋体"/>
                <w:sz w:val="21"/>
                <w:szCs w:val="22"/>
                <w:lang w:val="en-US" w:eastAsia="zh-CN"/>
              </w:rPr>
              <w:t>针对</w:t>
            </w:r>
            <w:r>
              <w:rPr>
                <w:rFonts w:hint="eastAsia" w:ascii="宋体" w:hAnsi="宋体" w:eastAsia="宋体" w:cs="宋体"/>
                <w:sz w:val="21"/>
                <w:szCs w:val="22"/>
                <w:lang w:eastAsia="zh-CN"/>
              </w:rPr>
              <w:t>“</w:t>
            </w:r>
            <w:r>
              <w:rPr>
                <w:rFonts w:hint="eastAsia" w:ascii="宋体" w:hAnsi="宋体" w:eastAsia="宋体" w:cs="宋体"/>
                <w:sz w:val="21"/>
                <w:szCs w:val="22"/>
                <w:lang w:val="en-US" w:eastAsia="zh-CN"/>
              </w:rPr>
              <w:t>8.1</w:t>
            </w:r>
            <w:r>
              <w:rPr>
                <w:rFonts w:hint="eastAsia" w:ascii="宋体" w:hAnsi="宋体" w:eastAsia="宋体" w:cs="宋体"/>
                <w:sz w:val="21"/>
                <w:szCs w:val="22"/>
                <w:lang w:eastAsia="zh-Hans"/>
              </w:rPr>
              <w:t>未病先防（骨量正常或骨量减少者）</w:t>
            </w:r>
            <w:r>
              <w:rPr>
                <w:rFonts w:hint="eastAsia" w:ascii="宋体" w:hAnsi="宋体" w:eastAsia="宋体" w:cs="宋体"/>
                <w:sz w:val="21"/>
                <w:szCs w:val="22"/>
                <w:lang w:val="en-US" w:eastAsia="zh-CN"/>
              </w:rPr>
              <w:t>”</w:t>
            </w:r>
            <w:r>
              <w:rPr>
                <w:rFonts w:hint="eastAsia" w:ascii="宋体" w:hAnsi="宋体" w:eastAsia="宋体" w:cs="宋体"/>
                <w:sz w:val="21"/>
                <w:szCs w:val="22"/>
                <w:lang w:eastAsia="zh-CN"/>
              </w:rPr>
              <w:t>、“8.2 既病防变（骨质疏松及骨质疏松性骨折者）”</w:t>
            </w:r>
            <w:r>
              <w:rPr>
                <w:rFonts w:hint="eastAsia" w:ascii="宋体" w:hAnsi="宋体" w:eastAsia="宋体" w:cs="宋体"/>
                <w:sz w:val="21"/>
                <w:szCs w:val="22"/>
                <w:lang w:val="en-US" w:eastAsia="zh-CN"/>
              </w:rPr>
              <w:t>文字描述，建议“</w:t>
            </w:r>
            <w:r>
              <w:rPr>
                <w:rFonts w:hint="eastAsia" w:ascii="宋体" w:hAnsi="宋体" w:eastAsia="宋体" w:cs="宋体"/>
                <w:color w:val="000000"/>
                <w:szCs w:val="21"/>
                <w:lang w:val="en-US" w:eastAsia="zh-CN"/>
              </w:rPr>
              <w:t>简易食疗方</w:t>
            </w:r>
            <w:r>
              <w:rPr>
                <w:rFonts w:hint="eastAsia" w:ascii="宋体" w:hAnsi="宋体" w:eastAsia="宋体" w:cs="宋体"/>
                <w:sz w:val="21"/>
                <w:szCs w:val="22"/>
                <w:lang w:val="en-US" w:eastAsia="zh-CN"/>
              </w:rPr>
              <w:t>”可以适当承前省略，即“</w:t>
            </w:r>
            <w:r>
              <w:rPr>
                <w:rFonts w:hint="eastAsia" w:ascii="宋体" w:hAnsi="宋体" w:eastAsia="宋体" w:cs="宋体"/>
                <w:color w:val="000000"/>
                <w:szCs w:val="21"/>
                <w:lang w:val="en-US" w:eastAsia="zh-CN"/>
              </w:rPr>
              <w:t>8.2.5 简易食疗方，同 8.1.5。”</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79D209C9">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2AFFE261">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4491A4EA">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220B53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19FDF64F">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2164D7C4">
            <w:pPr>
              <w:jc w:val="both"/>
              <w:rPr>
                <w:rFonts w:hint="eastAsia" w:ascii="宋体" w:hAnsi="宋体" w:eastAsia="宋体" w:cs="宋体"/>
                <w:color w:val="000000"/>
                <w:sz w:val="21"/>
                <w:szCs w:val="21"/>
              </w:rPr>
            </w:pPr>
            <w:r>
              <w:rPr>
                <w:rFonts w:hint="eastAsia" w:ascii="宋体" w:hAnsi="宋体" w:eastAsia="宋体" w:cs="宋体"/>
                <w:color w:val="000000"/>
                <w:sz w:val="21"/>
                <w:szCs w:val="21"/>
                <w:lang w:val="en-US" w:eastAsia="zh-CN"/>
              </w:rPr>
              <w:t>8.</w:t>
            </w:r>
            <w:r>
              <w:rPr>
                <w:rFonts w:hint="eastAsia" w:ascii="宋体" w:hAnsi="宋体" w:eastAsia="宋体" w:cs="宋体"/>
                <w:color w:val="000000"/>
                <w:sz w:val="21"/>
                <w:szCs w:val="21"/>
              </w:rPr>
              <w:t>骨质疏松高风险人群干预</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6449894E">
            <w:pPr>
              <w:jc w:val="both"/>
              <w:rPr>
                <w:rFonts w:hint="eastAsia" w:ascii="宋体" w:hAnsi="宋体" w:eastAsia="宋体" w:cs="宋体"/>
                <w:color w:val="000000"/>
                <w:szCs w:val="21"/>
                <w:lang w:val="en-US" w:eastAsia="zh-CN"/>
              </w:rPr>
            </w:pPr>
            <w:r>
              <w:rPr>
                <w:rFonts w:hint="eastAsia" w:ascii="宋体" w:hAnsi="宋体" w:eastAsia="宋体" w:cs="宋体"/>
                <w:color w:val="000000" w:themeColor="text1"/>
                <w:szCs w:val="21"/>
                <w14:textFill>
                  <w14:solidFill>
                    <w14:schemeClr w14:val="tx1"/>
                  </w14:solidFill>
                </w14:textFill>
              </w:rPr>
              <w:t>南京中医药大学附属医院/</w:t>
            </w:r>
            <w:r>
              <w:rPr>
                <w:rFonts w:hint="eastAsia" w:ascii="宋体" w:hAnsi="宋体" w:eastAsia="宋体" w:cs="宋体"/>
                <w:color w:val="000000" w:themeColor="text1"/>
                <w:szCs w:val="21"/>
                <w:lang w:val="en-US" w:eastAsia="zh-CN"/>
                <w14:textFill>
                  <w14:solidFill>
                    <w14:schemeClr w14:val="tx1"/>
                  </w14:solidFill>
                </w14:textFill>
              </w:rPr>
              <w:t>马勇</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264153C7">
            <w:pPr>
              <w:jc w:val="both"/>
              <w:rPr>
                <w:rFonts w:hint="eastAsia" w:ascii="宋体" w:hAnsi="宋体" w:eastAsia="宋体" w:cs="宋体"/>
                <w:color w:val="000000"/>
                <w:szCs w:val="21"/>
                <w:lang w:eastAsia="zh-CN"/>
              </w:rPr>
            </w:pPr>
            <w:r>
              <w:rPr>
                <w:rFonts w:hint="eastAsia" w:ascii="宋体" w:hAnsi="宋体" w:eastAsia="宋体" w:cs="宋体"/>
                <w:sz w:val="21"/>
                <w:szCs w:val="22"/>
                <w:lang w:val="en-US" w:eastAsia="zh-CN"/>
              </w:rPr>
              <w:t>针对</w:t>
            </w:r>
            <w:r>
              <w:rPr>
                <w:rFonts w:hint="eastAsia" w:ascii="宋体" w:hAnsi="宋体" w:eastAsia="宋体" w:cs="宋体"/>
                <w:sz w:val="21"/>
                <w:szCs w:val="22"/>
                <w:lang w:eastAsia="zh-CN"/>
              </w:rPr>
              <w:t>“8.2 既病防变（骨质疏松及骨质疏松性骨折者）”“</w:t>
            </w:r>
            <w:r>
              <w:rPr>
                <w:rFonts w:hint="eastAsia" w:ascii="宋体" w:hAnsi="宋体" w:eastAsia="宋体" w:cs="宋体"/>
                <w:sz w:val="21"/>
                <w:szCs w:val="22"/>
                <w:lang w:val="en-US" w:eastAsia="zh-CN"/>
              </w:rPr>
              <w:t>8.3 瘥后防复</w:t>
            </w:r>
            <w:r>
              <w:rPr>
                <w:rFonts w:hint="eastAsia" w:ascii="宋体" w:hAnsi="宋体" w:eastAsia="宋体" w:cs="宋体"/>
                <w:sz w:val="21"/>
                <w:szCs w:val="22"/>
                <w:lang w:eastAsia="zh-CN"/>
              </w:rPr>
              <w:t>”</w:t>
            </w:r>
            <w:r>
              <w:rPr>
                <w:rFonts w:hint="eastAsia" w:ascii="宋体" w:hAnsi="宋体" w:eastAsia="宋体" w:cs="宋体"/>
                <w:sz w:val="21"/>
                <w:szCs w:val="22"/>
                <w:lang w:val="en-US" w:eastAsia="zh-CN"/>
              </w:rPr>
              <w:t>文字描述，建议相关内容可以适当承前省略，</w:t>
            </w:r>
            <w:r>
              <w:rPr>
                <w:rFonts w:hint="eastAsia" w:ascii="宋体" w:hAnsi="宋体" w:eastAsia="宋体" w:cs="宋体"/>
                <w:color w:val="000000"/>
                <w:szCs w:val="21"/>
                <w:lang w:eastAsia="zh-CN"/>
              </w:rPr>
              <w:t>“</w:t>
            </w:r>
            <w:r>
              <w:rPr>
                <w:rFonts w:hint="eastAsia" w:ascii="宋体" w:hAnsi="宋体" w:eastAsia="宋体" w:cs="宋体"/>
                <w:color w:val="000000"/>
                <w:szCs w:val="21"/>
              </w:rPr>
              <w:t>8.3.4 西药治疗</w:t>
            </w:r>
            <w:r>
              <w:rPr>
                <w:rFonts w:hint="eastAsia" w:ascii="宋体" w:hAnsi="宋体" w:eastAsia="宋体" w:cs="宋体"/>
                <w:color w:val="000000"/>
                <w:szCs w:val="21"/>
                <w:lang w:eastAsia="zh-CN"/>
              </w:rPr>
              <w:t>，</w:t>
            </w:r>
            <w:r>
              <w:rPr>
                <w:rFonts w:hint="eastAsia" w:ascii="宋体" w:hAnsi="宋体" w:eastAsia="宋体" w:cs="宋体"/>
                <w:color w:val="000000"/>
                <w:szCs w:val="21"/>
              </w:rPr>
              <w:t>同 8.2.2。</w:t>
            </w:r>
            <w:r>
              <w:rPr>
                <w:rFonts w:hint="eastAsia" w:ascii="宋体" w:hAnsi="宋体" w:eastAsia="宋体" w:cs="宋体"/>
                <w:color w:val="000000"/>
                <w:szCs w:val="21"/>
                <w:lang w:eastAsia="zh-CN"/>
              </w:rPr>
              <w:t>”“</w:t>
            </w:r>
            <w:r>
              <w:rPr>
                <w:rFonts w:hint="eastAsia" w:ascii="宋体" w:hAnsi="宋体" w:eastAsia="宋体" w:cs="宋体"/>
                <w:color w:val="000000"/>
                <w:szCs w:val="21"/>
              </w:rPr>
              <w:t>8.3.5 中医辨证干预</w:t>
            </w:r>
            <w:r>
              <w:rPr>
                <w:rFonts w:hint="eastAsia" w:ascii="宋体" w:hAnsi="宋体" w:eastAsia="宋体" w:cs="宋体"/>
                <w:color w:val="000000"/>
                <w:szCs w:val="21"/>
                <w:lang w:eastAsia="zh-CN"/>
              </w:rPr>
              <w:t>，</w:t>
            </w:r>
            <w:r>
              <w:rPr>
                <w:rFonts w:hint="eastAsia" w:ascii="宋体" w:hAnsi="宋体" w:eastAsia="宋体" w:cs="宋体"/>
                <w:color w:val="000000"/>
                <w:szCs w:val="21"/>
              </w:rPr>
              <w:t>同 8.2.3。</w:t>
            </w:r>
            <w:r>
              <w:rPr>
                <w:rFonts w:hint="eastAsia" w:ascii="宋体" w:hAnsi="宋体" w:eastAsia="宋体" w:cs="宋体"/>
                <w:color w:val="000000"/>
                <w:szCs w:val="21"/>
                <w:lang w:eastAsia="zh-CN"/>
              </w:rPr>
              <w:t>”“</w:t>
            </w:r>
            <w:r>
              <w:rPr>
                <w:rFonts w:hint="eastAsia" w:ascii="宋体" w:hAnsi="宋体" w:eastAsia="宋体" w:cs="宋体"/>
                <w:color w:val="000000"/>
                <w:szCs w:val="21"/>
              </w:rPr>
              <w:t>8.3.6 生活护理</w:t>
            </w:r>
            <w:r>
              <w:rPr>
                <w:rFonts w:hint="eastAsia" w:ascii="宋体" w:hAnsi="宋体" w:eastAsia="宋体" w:cs="宋体"/>
                <w:color w:val="000000"/>
                <w:szCs w:val="21"/>
                <w:lang w:eastAsia="zh-CN"/>
              </w:rPr>
              <w:t>，</w:t>
            </w:r>
            <w:r>
              <w:rPr>
                <w:rFonts w:hint="eastAsia" w:ascii="宋体" w:hAnsi="宋体" w:eastAsia="宋体" w:cs="宋体"/>
                <w:color w:val="000000"/>
                <w:szCs w:val="21"/>
              </w:rPr>
              <w:t>同 8.2.7.1。</w:t>
            </w:r>
            <w:r>
              <w:rPr>
                <w:rFonts w:hint="eastAsia" w:ascii="宋体" w:hAnsi="宋体" w:eastAsia="宋体" w:cs="宋体"/>
                <w:color w:val="000000"/>
                <w:szCs w:val="21"/>
                <w:lang w:eastAsia="zh-CN"/>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24AB5FD2">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13478CA8">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6BECF64D">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2D789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490B4B01">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7952DF23">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8.1.3 中医辨证干预</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08CCA104">
            <w:pPr>
              <w:jc w:val="both"/>
              <w:rPr>
                <w:rFonts w:hint="eastAsia" w:ascii="宋体" w:hAnsi="宋体" w:eastAsia="宋体" w:cs="宋体"/>
                <w:color w:val="000000"/>
                <w:szCs w:val="21"/>
              </w:rPr>
            </w:pPr>
            <w:r>
              <w:rPr>
                <w:rFonts w:hint="eastAsia" w:ascii="宋体" w:hAnsi="宋体" w:eastAsia="宋体" w:cs="宋体"/>
                <w:color w:val="000000"/>
                <w:szCs w:val="21"/>
              </w:rPr>
              <w:t>浙江中医药大学附属第一医院/卢建华</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6877EEA4">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建议在不同证型“方剂”使用方面，分别补充“药物组成”；</w:t>
            </w:r>
            <w:r>
              <w:rPr>
                <w:rFonts w:hint="eastAsia" w:ascii="宋体" w:hAnsi="宋体" w:cs="宋体"/>
                <w:color w:val="000000"/>
                <w:kern w:val="2"/>
                <w:sz w:val="21"/>
                <w:szCs w:val="21"/>
                <w:lang w:val="en-US" w:eastAsia="zh-CN" w:bidi="ar-SA"/>
              </w:rPr>
              <w:t>是否考虑删除</w:t>
            </w:r>
            <w:r>
              <w:rPr>
                <w:rFonts w:hint="eastAsia" w:ascii="宋体" w:hAnsi="宋体" w:eastAsia="宋体" w:cs="宋体"/>
                <w:color w:val="000000"/>
                <w:kern w:val="2"/>
                <w:sz w:val="21"/>
                <w:szCs w:val="21"/>
                <w:lang w:val="en-US" w:eastAsia="zh-CN" w:bidi="ar-SA"/>
              </w:rPr>
              <w:t>“中成药”</w:t>
            </w:r>
            <w:r>
              <w:rPr>
                <w:rFonts w:hint="eastAsia" w:ascii="宋体" w:hAnsi="宋体" w:cs="宋体"/>
                <w:color w:val="000000"/>
                <w:kern w:val="2"/>
                <w:sz w:val="21"/>
                <w:szCs w:val="21"/>
                <w:lang w:val="en-US" w:eastAsia="zh-CN" w:bidi="ar-SA"/>
              </w:rPr>
              <w:t>；</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058637DB">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部分采纳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012F6C85">
            <w:pPr>
              <w:jc w:val="both"/>
              <w:rPr>
                <w:rFonts w:hint="eastAsia" w:ascii="宋体" w:hAnsi="宋体" w:eastAsia="宋体" w:cs="宋体"/>
                <w:color w:val="000000"/>
                <w:kern w:val="2"/>
                <w:sz w:val="21"/>
                <w:szCs w:val="21"/>
                <w:lang w:val="en-US" w:eastAsia="zh-CN" w:bidi="ar-SA"/>
              </w:rPr>
            </w:pPr>
            <w:r>
              <w:rPr>
                <w:rFonts w:hint="eastAsia" w:ascii="宋体" w:hAnsi="宋体" w:cs="宋体"/>
                <w:color w:val="000000"/>
                <w:kern w:val="2"/>
                <w:sz w:val="21"/>
                <w:szCs w:val="21"/>
                <w:lang w:val="en-US" w:eastAsia="zh-CN" w:bidi="ar-SA"/>
              </w:rPr>
              <w:t>已补充方剂“药物组成”；</w:t>
            </w:r>
            <w:r>
              <w:rPr>
                <w:rFonts w:hint="eastAsia" w:ascii="宋体" w:hAnsi="宋体" w:eastAsia="宋体" w:cs="宋体"/>
                <w:color w:val="000000"/>
                <w:kern w:val="2"/>
                <w:sz w:val="21"/>
                <w:szCs w:val="21"/>
                <w:lang w:val="en-US" w:eastAsia="zh-CN" w:bidi="ar-SA"/>
              </w:rPr>
              <w:t>中成药</w:t>
            </w:r>
            <w:r>
              <w:rPr>
                <w:rFonts w:hint="eastAsia" w:ascii="宋体" w:hAnsi="宋体" w:cs="宋体"/>
                <w:color w:val="000000"/>
                <w:kern w:val="2"/>
                <w:sz w:val="21"/>
                <w:szCs w:val="21"/>
                <w:lang w:val="en-US" w:eastAsia="zh-CN" w:bidi="ar-SA"/>
              </w:rPr>
              <w:t>临床应用广泛，故保留，并补充“</w:t>
            </w:r>
            <w:r>
              <w:rPr>
                <w:rFonts w:hint="eastAsia" w:ascii="宋体" w:hAnsi="宋体" w:eastAsia="宋体" w:cs="宋体"/>
                <w:color w:val="000000"/>
                <w:kern w:val="2"/>
                <w:sz w:val="21"/>
                <w:szCs w:val="21"/>
                <w:lang w:val="en-US" w:eastAsia="zh-CN" w:bidi="ar-SA"/>
              </w:rPr>
              <w:t>主要成分</w:t>
            </w:r>
            <w:r>
              <w:rPr>
                <w:rFonts w:hint="eastAsia" w:ascii="宋体" w:hAnsi="宋体" w:cs="宋体"/>
                <w:color w:val="000000"/>
                <w:kern w:val="2"/>
                <w:sz w:val="21"/>
                <w:szCs w:val="21"/>
                <w:lang w:val="en-US" w:eastAsia="zh-CN" w:bidi="ar-SA"/>
              </w:rPr>
              <w:t>”</w:t>
            </w:r>
            <w:r>
              <w:rPr>
                <w:rFonts w:hint="eastAsia" w:ascii="宋体" w:hAnsi="宋体" w:eastAsia="宋体" w:cs="宋体"/>
                <w:color w:val="000000"/>
                <w:kern w:val="2"/>
                <w:sz w:val="21"/>
                <w:szCs w:val="21"/>
                <w:lang w:val="en-US" w:eastAsia="zh-CN" w:bidi="ar-SA"/>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46498BAA">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研讨后已修改</w:t>
            </w:r>
          </w:p>
        </w:tc>
      </w:tr>
      <w:tr w14:paraId="531C8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19890C9B">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2BA355DE">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8.1.5 简易食疗方</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14416C6E">
            <w:pPr>
              <w:jc w:val="both"/>
              <w:rPr>
                <w:rFonts w:hint="eastAsia" w:ascii="宋体" w:hAnsi="宋体" w:eastAsia="宋体" w:cs="宋体"/>
                <w:color w:val="000000"/>
                <w:szCs w:val="21"/>
              </w:rPr>
            </w:pPr>
            <w:r>
              <w:rPr>
                <w:rFonts w:hint="eastAsia" w:ascii="宋体" w:hAnsi="宋体" w:eastAsia="宋体" w:cs="宋体"/>
                <w:color w:val="000000"/>
                <w:szCs w:val="21"/>
              </w:rPr>
              <w:t>上海中医药大学/陈博</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49130AAD">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“山药枸杞甲鱼汤”等</w:t>
            </w:r>
            <w:r>
              <w:rPr>
                <w:rFonts w:hint="eastAsia" w:ascii="宋体" w:hAnsi="宋体" w:eastAsia="宋体" w:cs="宋体"/>
                <w:color w:val="000000"/>
                <w:szCs w:val="21"/>
              </w:rPr>
              <w:t>食疗方</w:t>
            </w:r>
            <w:r>
              <w:rPr>
                <w:rFonts w:hint="eastAsia" w:ascii="宋体" w:hAnsi="宋体" w:eastAsia="宋体" w:cs="宋体"/>
                <w:color w:val="000000"/>
                <w:szCs w:val="21"/>
                <w:lang w:eastAsia="zh-CN"/>
              </w:rPr>
              <w:t>，</w:t>
            </w:r>
            <w:r>
              <w:rPr>
                <w:rFonts w:hint="eastAsia" w:ascii="宋体" w:hAnsi="宋体" w:eastAsia="宋体" w:cs="宋体"/>
                <w:color w:val="000000"/>
                <w:kern w:val="2"/>
                <w:sz w:val="21"/>
                <w:szCs w:val="21"/>
                <w:lang w:val="en-US" w:eastAsia="zh-CN" w:bidi="ar-SA"/>
              </w:rPr>
              <w:t>建议</w:t>
            </w:r>
            <w:r>
              <w:rPr>
                <w:rFonts w:hint="eastAsia" w:ascii="宋体" w:hAnsi="宋体" w:eastAsia="宋体" w:cs="宋体"/>
                <w:color w:val="000000"/>
                <w:szCs w:val="21"/>
                <w:lang w:val="en-US" w:eastAsia="zh-CN"/>
              </w:rPr>
              <w:t>按照“</w:t>
            </w:r>
            <w:r>
              <w:rPr>
                <w:rFonts w:hint="eastAsia" w:ascii="宋体" w:hAnsi="宋体" w:eastAsia="宋体" w:cs="宋体"/>
                <w:color w:val="000000"/>
                <w:kern w:val="2"/>
                <w:sz w:val="21"/>
                <w:szCs w:val="21"/>
                <w:lang w:val="en-US" w:eastAsia="zh-CN" w:bidi="ar-SA"/>
              </w:rPr>
              <w:t>材料”、“做法”等进行描述，并补充参考文献（如有可能）；</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79A5DCC2">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11694AED">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71B50EA0">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4441D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79D8F019">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78E5C613">
            <w:pPr>
              <w:jc w:val="both"/>
              <w:rPr>
                <w:rFonts w:hint="eastAsia" w:ascii="宋体" w:hAnsi="宋体" w:eastAsia="宋体" w:cs="宋体"/>
                <w:color w:val="000000"/>
                <w:sz w:val="21"/>
                <w:szCs w:val="21"/>
              </w:rPr>
            </w:pPr>
            <w:r>
              <w:rPr>
                <w:rFonts w:hint="eastAsia" w:ascii="宋体" w:hAnsi="宋体" w:eastAsia="宋体" w:cs="宋体"/>
                <w:color w:val="000000"/>
                <w:sz w:val="21"/>
                <w:szCs w:val="21"/>
              </w:rPr>
              <w:t xml:space="preserve">8.1.4 非药物疗法 </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406B81D1">
            <w:pPr>
              <w:bidi w:val="0"/>
              <w:jc w:val="both"/>
              <w:rPr>
                <w:rFonts w:hint="eastAsia" w:ascii="宋体" w:hAnsi="宋体" w:eastAsia="宋体" w:cs="宋体"/>
                <w:kern w:val="2"/>
                <w:sz w:val="21"/>
                <w:szCs w:val="24"/>
                <w:lang w:val="en-US" w:eastAsia="zh-CN" w:bidi="ar-SA"/>
              </w:rPr>
            </w:pPr>
            <w:r>
              <w:rPr>
                <w:rFonts w:hint="eastAsia" w:ascii="宋体" w:hAnsi="宋体" w:eastAsia="宋体" w:cs="宋体"/>
                <w:kern w:val="2"/>
                <w:sz w:val="21"/>
                <w:szCs w:val="24"/>
                <w:lang w:val="en-US" w:eastAsia="zh-CN" w:bidi="ar-SA"/>
              </w:rPr>
              <w:t>河北中医药大学第一附属医院/王鹏</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4B94AEB4">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“针灸”“</w:t>
            </w:r>
            <w:r>
              <w:rPr>
                <w:rFonts w:hint="eastAsia" w:ascii="宋体" w:hAnsi="宋体" w:eastAsia="宋体" w:cs="宋体"/>
                <w:sz w:val="21"/>
                <w:szCs w:val="22"/>
                <w:lang w:val="en-US" w:eastAsia="zh-CN"/>
              </w:rPr>
              <w:t>艾灸</w:t>
            </w:r>
            <w:r>
              <w:rPr>
                <w:rFonts w:hint="eastAsia" w:ascii="宋体" w:hAnsi="宋体" w:eastAsia="宋体" w:cs="宋体"/>
                <w:color w:val="000000"/>
                <w:kern w:val="2"/>
                <w:sz w:val="21"/>
                <w:szCs w:val="21"/>
                <w:lang w:val="en-US" w:eastAsia="zh-CN" w:bidi="ar-SA"/>
              </w:rPr>
              <w:t>”“</w:t>
            </w:r>
            <w:r>
              <w:rPr>
                <w:rFonts w:hint="eastAsia" w:ascii="宋体" w:hAnsi="宋体" w:eastAsia="宋体" w:cs="宋体"/>
                <w:sz w:val="21"/>
                <w:szCs w:val="22"/>
                <w:lang w:val="en-US" w:eastAsia="zh-CN"/>
              </w:rPr>
              <w:t>穴位贴敷</w:t>
            </w:r>
            <w:r>
              <w:rPr>
                <w:rFonts w:hint="eastAsia" w:ascii="宋体" w:hAnsi="宋体" w:eastAsia="宋体" w:cs="宋体"/>
                <w:color w:val="000000"/>
                <w:kern w:val="2"/>
                <w:sz w:val="21"/>
                <w:szCs w:val="21"/>
                <w:lang w:val="en-US" w:eastAsia="zh-CN" w:bidi="ar-SA"/>
              </w:rPr>
              <w:t>”“</w:t>
            </w:r>
            <w:r>
              <w:rPr>
                <w:rFonts w:hint="eastAsia" w:ascii="宋体" w:hAnsi="宋体" w:eastAsia="宋体" w:cs="宋体"/>
                <w:sz w:val="21"/>
                <w:szCs w:val="22"/>
                <w:lang w:val="en-US" w:eastAsia="zh-CN"/>
              </w:rPr>
              <w:t>耳穴压豆</w:t>
            </w:r>
            <w:r>
              <w:rPr>
                <w:rFonts w:hint="eastAsia" w:ascii="宋体" w:hAnsi="宋体" w:eastAsia="宋体" w:cs="宋体"/>
                <w:color w:val="000000"/>
                <w:kern w:val="2"/>
                <w:sz w:val="21"/>
                <w:szCs w:val="21"/>
                <w:lang w:val="en-US" w:eastAsia="zh-CN" w:bidi="ar-SA"/>
              </w:rPr>
              <w:t>”“</w:t>
            </w:r>
            <w:r>
              <w:rPr>
                <w:rFonts w:hint="eastAsia" w:ascii="宋体" w:hAnsi="宋体" w:eastAsia="宋体" w:cs="宋体"/>
                <w:sz w:val="21"/>
                <w:szCs w:val="22"/>
                <w:lang w:val="en-US" w:eastAsia="zh-CN"/>
              </w:rPr>
              <w:t>其他疗法</w:t>
            </w:r>
            <w:r>
              <w:rPr>
                <w:rFonts w:hint="eastAsia" w:ascii="宋体" w:hAnsi="宋体" w:eastAsia="宋体" w:cs="宋体"/>
                <w:color w:val="000000"/>
                <w:kern w:val="2"/>
                <w:sz w:val="21"/>
                <w:szCs w:val="21"/>
                <w:lang w:val="en-US" w:eastAsia="zh-CN" w:bidi="ar-SA"/>
              </w:rPr>
              <w:t>”，建议补充相关参考文献；</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3E51B2B2">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29F5B0B7">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30E7A264">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6D7A3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13A04468">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7F0CCF8F">
            <w:pPr>
              <w:jc w:val="both"/>
              <w:rPr>
                <w:rFonts w:hint="eastAsia" w:ascii="宋体" w:hAnsi="宋体" w:eastAsia="宋体" w:cs="宋体"/>
                <w:color w:val="000000"/>
                <w:kern w:val="2"/>
                <w:sz w:val="21"/>
                <w:szCs w:val="21"/>
                <w:lang w:val="en-US" w:eastAsia="zh-CN" w:bidi="ar-SA"/>
              </w:rPr>
            </w:pP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681EF886">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成都中医药大学附属医院/胡一梅</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2DDFF551">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回复无意见</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327311F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29633F2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5CD484DC">
            <w:pPr>
              <w:jc w:val="both"/>
              <w:rPr>
                <w:rFonts w:hint="eastAsia" w:ascii="宋体" w:hAnsi="宋体" w:eastAsia="宋体" w:cs="宋体"/>
                <w:color w:val="000000"/>
                <w:kern w:val="2"/>
                <w:sz w:val="21"/>
                <w:szCs w:val="21"/>
                <w:lang w:val="en-US" w:eastAsia="zh-CN" w:bidi="ar-SA"/>
              </w:rPr>
            </w:pPr>
          </w:p>
        </w:tc>
      </w:tr>
      <w:tr w14:paraId="17F9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516FA3A0">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3DB9B38F">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rPr>
              <w:t>9.1 定期复查</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570FA7D6">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佛山市中医院/赵立连</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37D6FB7E">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“骨量正常或骨量减少者，每年随访一次。骨质疏松者每半年随访一次，骨质疏松性骨折者每3个月随访一次。随访时均应检查骨转换标志物，每年检查一次骨密度及脊椎影像学检查。 ”建议修改为：“骨量正常或骨量减少者需每年接受随访，包括骨密度检测、骨代谢标志物（如P1NP、S-CTX）及脊柱影像学检查。骨质疏松者每半年随访一次，骨质疏松性骨折者每3个月随访一次。随访时均应检查骨转换标志物，每年检查一次骨密度及脊椎影像学检查。”</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1A74399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1477FB3F">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2D1BF8C3">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r w14:paraId="0933A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67DDD0B8">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1402E1E0">
            <w:pPr>
              <w:jc w:val="both"/>
              <w:rPr>
                <w:rFonts w:hint="eastAsia" w:ascii="宋体" w:hAnsi="宋体" w:eastAsia="宋体" w:cs="宋体"/>
                <w:color w:val="000000"/>
                <w:sz w:val="21"/>
                <w:szCs w:val="21"/>
                <w:lang w:val="en-US" w:eastAsia="zh-CN"/>
              </w:rPr>
            </w:pP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14997A1C">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广西中医药大学附属瑞康医院/丰哲</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40649716">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建议增加“推广应用方案”，制作骨质疏松高风险人群中医健康管理相关短视频，有利于面向患者和社会进行规划范科普。</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23FEDCD4">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未采纳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4924933A">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不在本地标送审稿范围之内；短视频短小精悍，内容丰富，灵活有趣，具有一定的娱乐性，是当前知识传播的重要媒介，受众广泛；将在本指南制定发布后作进一步拓展优化。</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504C0F32">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未修改</w:t>
            </w:r>
          </w:p>
        </w:tc>
      </w:tr>
      <w:tr w14:paraId="1D6BD6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152" w:type="pct"/>
            <w:tcBorders>
              <w:top w:val="dotted" w:color="auto" w:sz="8" w:space="0"/>
              <w:left w:val="dotted" w:color="auto" w:sz="8" w:space="0"/>
              <w:bottom w:val="dotted" w:color="auto" w:sz="8" w:space="0"/>
              <w:right w:val="dotted" w:color="auto" w:sz="8" w:space="0"/>
            </w:tcBorders>
            <w:shd w:val="clear" w:color="auto" w:fill="FFFFFF"/>
            <w:vAlign w:val="top"/>
          </w:tcPr>
          <w:p w14:paraId="3EBA1857">
            <w:pPr>
              <w:numPr>
                <w:ilvl w:val="0"/>
                <w:numId w:val="2"/>
              </w:numPr>
              <w:jc w:val="both"/>
              <w:rPr>
                <w:rFonts w:ascii="宋体" w:hAnsi="宋体"/>
                <w:color w:val="000000"/>
                <w:sz w:val="21"/>
                <w:szCs w:val="21"/>
              </w:rPr>
            </w:pPr>
          </w:p>
        </w:tc>
        <w:tc>
          <w:tcPr>
            <w:tcW w:w="340" w:type="pct"/>
            <w:tcBorders>
              <w:top w:val="dotted" w:color="auto" w:sz="8" w:space="0"/>
              <w:left w:val="dotted" w:color="auto" w:sz="8" w:space="0"/>
              <w:bottom w:val="dotted" w:color="auto" w:sz="8" w:space="0"/>
              <w:right w:val="dotted" w:color="auto" w:sz="8" w:space="0"/>
            </w:tcBorders>
            <w:shd w:val="clear" w:color="auto" w:fill="FFFFFF"/>
            <w:vAlign w:val="top"/>
          </w:tcPr>
          <w:p w14:paraId="44E72173">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 w:val="21"/>
                <w:szCs w:val="21"/>
                <w:lang w:val="en-US" w:eastAsia="zh-CN"/>
              </w:rPr>
              <w:t>参考文献</w:t>
            </w:r>
          </w:p>
        </w:tc>
        <w:tc>
          <w:tcPr>
            <w:tcW w:w="673" w:type="pct"/>
            <w:tcBorders>
              <w:top w:val="dotted" w:color="auto" w:sz="8" w:space="0"/>
              <w:left w:val="dotted" w:color="auto" w:sz="8" w:space="0"/>
              <w:bottom w:val="dotted" w:color="auto" w:sz="8" w:space="0"/>
              <w:right w:val="dotted" w:color="auto" w:sz="8" w:space="0"/>
            </w:tcBorders>
            <w:shd w:val="clear" w:color="auto" w:fill="FFFFFF"/>
            <w:vAlign w:val="top"/>
          </w:tcPr>
          <w:p w14:paraId="02D46D8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中国中医科学院望京医院/魏戌</w:t>
            </w:r>
          </w:p>
        </w:tc>
        <w:tc>
          <w:tcPr>
            <w:tcW w:w="1956" w:type="pct"/>
            <w:tcBorders>
              <w:top w:val="dotted" w:color="auto" w:sz="8" w:space="0"/>
              <w:left w:val="dotted" w:color="auto" w:sz="8" w:space="0"/>
              <w:bottom w:val="dotted" w:color="auto" w:sz="8" w:space="0"/>
              <w:right w:val="dotted" w:color="auto" w:sz="8" w:space="0"/>
            </w:tcBorders>
            <w:shd w:val="clear" w:color="auto" w:fill="FFFFFF"/>
            <w:vAlign w:val="top"/>
          </w:tcPr>
          <w:p w14:paraId="0616734F">
            <w:pPr>
              <w:numPr>
                <w:ilvl w:val="0"/>
                <w:numId w:val="0"/>
              </w:num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[12]尹英超,董琪,贾会扬,等.《骨质疏松性骨折诊疗指南（2022）》解读[J].河北医科大学学报,2024,45(08):869-872.</w:t>
            </w:r>
          </w:p>
          <w:p w14:paraId="6610F20F">
            <w:pPr>
              <w:numPr>
                <w:ilvl w:val="0"/>
                <w:numId w:val="0"/>
              </w:num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[22]杜国庆,潘富伟,王玉鹏,等.强骨胶囊治疗原发性骨质疏松症有效性和安全性的Meta分析[J].中医正骨,2023,35(08):31-36.</w:t>
            </w:r>
          </w:p>
          <w:p w14:paraId="21B61513">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[34]陈世洲,孙玉明,蒋东明,等.中药足浴联合八段锦治疗阳虚质骨质疏松症的临床观察[J].湖南中医药大学学报,2020,40(11):1396-1400.</w:t>
            </w:r>
          </w:p>
          <w:p w14:paraId="5DA6C1A7">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[38]孙杰培,雷晗,唐永富,等.消增强骨片联合西医常规治疗肝肾亏虚兼气滞血瘀型骨质疏松症的临床观察[J].河北中医,2025,47(01):50-53.</w:t>
            </w:r>
          </w:p>
          <w:p w14:paraId="7C74C875">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kern w:val="2"/>
                <w:sz w:val="21"/>
                <w:szCs w:val="21"/>
                <w:lang w:val="en-US" w:eastAsia="zh-CN" w:bidi="ar-SA"/>
              </w:rPr>
              <w:t>在参考文献中，上述4篇参考文献仅标注“前三”，其他参考文献则列出全部作者；建议采用统一规范的格式，请核查补充。</w:t>
            </w:r>
          </w:p>
        </w:tc>
        <w:tc>
          <w:tcPr>
            <w:tcW w:w="435" w:type="pct"/>
            <w:tcBorders>
              <w:top w:val="dotted" w:color="auto" w:sz="8" w:space="0"/>
              <w:left w:val="dotted" w:color="auto" w:sz="8" w:space="0"/>
              <w:bottom w:val="dotted" w:color="auto" w:sz="8" w:space="0"/>
              <w:right w:val="dotted" w:color="auto" w:sz="8" w:space="0"/>
            </w:tcBorders>
            <w:shd w:val="clear" w:color="auto" w:fill="FFFFFF"/>
            <w:vAlign w:val="top"/>
          </w:tcPr>
          <w:p w14:paraId="33291930">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采纳</w:t>
            </w:r>
          </w:p>
        </w:tc>
        <w:tc>
          <w:tcPr>
            <w:tcW w:w="864" w:type="pct"/>
            <w:tcBorders>
              <w:top w:val="dotted" w:color="auto" w:sz="8" w:space="0"/>
              <w:left w:val="dotted" w:color="auto" w:sz="8" w:space="0"/>
              <w:bottom w:val="dotted" w:color="auto" w:sz="8" w:space="0"/>
              <w:right w:val="dotted" w:color="auto" w:sz="8" w:space="0"/>
            </w:tcBorders>
            <w:shd w:val="clear" w:color="auto" w:fill="FFFFFF"/>
            <w:vAlign w:val="top"/>
          </w:tcPr>
          <w:p w14:paraId="60B2FF58">
            <w:pPr>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lang w:val="en-US" w:eastAsia="zh-CN"/>
              </w:rPr>
              <w:t>-</w:t>
            </w:r>
          </w:p>
        </w:tc>
        <w:tc>
          <w:tcPr>
            <w:tcW w:w="577" w:type="pct"/>
            <w:tcBorders>
              <w:top w:val="dotted" w:color="auto" w:sz="8" w:space="0"/>
              <w:left w:val="dotted" w:color="auto" w:sz="8" w:space="0"/>
              <w:bottom w:val="dotted" w:color="auto" w:sz="8" w:space="0"/>
              <w:right w:val="dotted" w:color="auto" w:sz="8" w:space="0"/>
            </w:tcBorders>
            <w:shd w:val="clear" w:color="auto" w:fill="FFFFFF"/>
            <w:vAlign w:val="top"/>
          </w:tcPr>
          <w:p w14:paraId="72052C65">
            <w:pPr>
              <w:snapToGrid w:val="0"/>
              <w:jc w:val="both"/>
              <w:rPr>
                <w:rFonts w:hint="eastAsia" w:ascii="宋体" w:hAnsi="宋体" w:eastAsia="宋体" w:cs="宋体"/>
                <w:color w:val="000000"/>
                <w:kern w:val="2"/>
                <w:sz w:val="21"/>
                <w:szCs w:val="21"/>
                <w:lang w:val="en-US" w:eastAsia="zh-CN" w:bidi="ar-SA"/>
              </w:rPr>
            </w:pPr>
            <w:r>
              <w:rPr>
                <w:rFonts w:hint="eastAsia" w:ascii="宋体" w:hAnsi="宋体" w:eastAsia="宋体" w:cs="宋体"/>
                <w:color w:val="000000"/>
                <w:szCs w:val="21"/>
              </w:rPr>
              <w:t>已对应修改</w:t>
            </w:r>
          </w:p>
        </w:tc>
      </w:tr>
    </w:tbl>
    <w:p w14:paraId="1DCF0EBD">
      <w:pPr>
        <w:rPr>
          <w:rFonts w:hint="eastAsia" w:ascii="仿宋" w:hAnsi="仿宋" w:eastAsia="仿宋"/>
          <w:color w:val="000000"/>
          <w:sz w:val="24"/>
        </w:rPr>
      </w:pPr>
      <w:r>
        <w:rPr>
          <w:rFonts w:hint="eastAsia" w:ascii="仿宋" w:hAnsi="仿宋" w:eastAsia="仿宋"/>
          <w:color w:val="000000"/>
          <w:sz w:val="24"/>
        </w:rPr>
        <w:t>注：请列出所有发出征求意见函的单位和个人。纸面不敷，可另增行页。</w:t>
      </w:r>
    </w:p>
    <w:p w14:paraId="2C99AAB9">
      <w:pPr>
        <w:rPr>
          <w:rFonts w:hint="eastAsia" w:ascii="仿宋" w:hAnsi="仿宋" w:eastAsia="仿宋"/>
          <w:color w:val="000000"/>
          <w:sz w:val="24"/>
        </w:rPr>
      </w:pPr>
    </w:p>
    <w:sectPr>
      <w:headerReference r:id="rId3" w:type="default"/>
      <w:footerReference r:id="rId4" w:type="default"/>
      <w:pgSz w:w="16838" w:h="11906" w:orient="landscape"/>
      <w:pgMar w:top="1134" w:right="1387" w:bottom="993" w:left="1276" w:header="851" w:footer="78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docPartObj>
        <w:docPartGallery w:val="autotext"/>
      </w:docPartObj>
    </w:sdtPr>
    <w:sdtContent>
      <w:p w14:paraId="1F1AD32B">
        <w:pPr>
          <w:pStyle w:val="6"/>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B6C02">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FCDB60"/>
    <w:multiLevelType w:val="singleLevel"/>
    <w:tmpl w:val="ADFCDB60"/>
    <w:lvl w:ilvl="0" w:tentative="0">
      <w:start w:val="6"/>
      <w:numFmt w:val="decimal"/>
      <w:suff w:val="nothing"/>
      <w:lvlText w:val="（%1）"/>
      <w:lvlJc w:val="left"/>
    </w:lvl>
  </w:abstractNum>
  <w:abstractNum w:abstractNumId="1">
    <w:nsid w:val="6BB141D4"/>
    <w:multiLevelType w:val="multilevel"/>
    <w:tmpl w:val="6BB141D4"/>
    <w:lvl w:ilvl="0" w:tentative="0">
      <w:start w:val="1"/>
      <w:numFmt w:val="decimal"/>
      <w:lvlText w:val="%1."/>
      <w:lvlJc w:val="left"/>
      <w:pPr>
        <w:tabs>
          <w:tab w:val="left" w:pos="420"/>
        </w:tabs>
        <w:ind w:left="420" w:hanging="420"/>
      </w:pPr>
      <w:rPr>
        <w:b w:val="0"/>
        <w:color w:val="auto"/>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5"/>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4C47"/>
    <w:rsid w:val="000156C4"/>
    <w:rsid w:val="00023949"/>
    <w:rsid w:val="00030C64"/>
    <w:rsid w:val="000357CC"/>
    <w:rsid w:val="00035F6D"/>
    <w:rsid w:val="0004511A"/>
    <w:rsid w:val="0005167F"/>
    <w:rsid w:val="00052AE4"/>
    <w:rsid w:val="000733E7"/>
    <w:rsid w:val="00080306"/>
    <w:rsid w:val="00092D5D"/>
    <w:rsid w:val="000B494F"/>
    <w:rsid w:val="000B79A7"/>
    <w:rsid w:val="000D1D41"/>
    <w:rsid w:val="000E1341"/>
    <w:rsid w:val="000E2104"/>
    <w:rsid w:val="000E4132"/>
    <w:rsid w:val="001224E6"/>
    <w:rsid w:val="00124405"/>
    <w:rsid w:val="0013567E"/>
    <w:rsid w:val="00147D3C"/>
    <w:rsid w:val="001534CA"/>
    <w:rsid w:val="00155138"/>
    <w:rsid w:val="00155B86"/>
    <w:rsid w:val="0016083D"/>
    <w:rsid w:val="00172737"/>
    <w:rsid w:val="00172A27"/>
    <w:rsid w:val="00174817"/>
    <w:rsid w:val="001748EE"/>
    <w:rsid w:val="00182A1F"/>
    <w:rsid w:val="001973CA"/>
    <w:rsid w:val="001A3C0D"/>
    <w:rsid w:val="001A7E4D"/>
    <w:rsid w:val="001B0BC2"/>
    <w:rsid w:val="001B3160"/>
    <w:rsid w:val="001B6091"/>
    <w:rsid w:val="001C364F"/>
    <w:rsid w:val="001D5BD6"/>
    <w:rsid w:val="00207072"/>
    <w:rsid w:val="002105A7"/>
    <w:rsid w:val="00220F48"/>
    <w:rsid w:val="00221E71"/>
    <w:rsid w:val="002327F0"/>
    <w:rsid w:val="00232B16"/>
    <w:rsid w:val="00237E9F"/>
    <w:rsid w:val="00250B03"/>
    <w:rsid w:val="0025740F"/>
    <w:rsid w:val="0026578E"/>
    <w:rsid w:val="0027121C"/>
    <w:rsid w:val="00277229"/>
    <w:rsid w:val="00277910"/>
    <w:rsid w:val="00286A08"/>
    <w:rsid w:val="00293AE1"/>
    <w:rsid w:val="0029667F"/>
    <w:rsid w:val="00297A01"/>
    <w:rsid w:val="002A0E7A"/>
    <w:rsid w:val="002A2DF3"/>
    <w:rsid w:val="002A77B8"/>
    <w:rsid w:val="002B47E2"/>
    <w:rsid w:val="002C4247"/>
    <w:rsid w:val="002D1017"/>
    <w:rsid w:val="002D3C52"/>
    <w:rsid w:val="002D6F3D"/>
    <w:rsid w:val="002E10C0"/>
    <w:rsid w:val="002E15A3"/>
    <w:rsid w:val="002E22E5"/>
    <w:rsid w:val="002E27D4"/>
    <w:rsid w:val="002E4960"/>
    <w:rsid w:val="002E571C"/>
    <w:rsid w:val="002E6650"/>
    <w:rsid w:val="002F1CF0"/>
    <w:rsid w:val="00300A90"/>
    <w:rsid w:val="0030119E"/>
    <w:rsid w:val="003028DA"/>
    <w:rsid w:val="0031783D"/>
    <w:rsid w:val="00320B75"/>
    <w:rsid w:val="00335156"/>
    <w:rsid w:val="00335E8B"/>
    <w:rsid w:val="003403FA"/>
    <w:rsid w:val="003500A3"/>
    <w:rsid w:val="003649C3"/>
    <w:rsid w:val="003652EE"/>
    <w:rsid w:val="00367C19"/>
    <w:rsid w:val="00371799"/>
    <w:rsid w:val="00385489"/>
    <w:rsid w:val="003872C4"/>
    <w:rsid w:val="00390713"/>
    <w:rsid w:val="003A64E8"/>
    <w:rsid w:val="003A7124"/>
    <w:rsid w:val="003C1CAA"/>
    <w:rsid w:val="003C22D0"/>
    <w:rsid w:val="003E007C"/>
    <w:rsid w:val="003E6A3D"/>
    <w:rsid w:val="003F0141"/>
    <w:rsid w:val="003F1423"/>
    <w:rsid w:val="003F2678"/>
    <w:rsid w:val="003F55FA"/>
    <w:rsid w:val="004075E7"/>
    <w:rsid w:val="0042296D"/>
    <w:rsid w:val="004254FD"/>
    <w:rsid w:val="004335D2"/>
    <w:rsid w:val="004450A2"/>
    <w:rsid w:val="00445B8A"/>
    <w:rsid w:val="00457F32"/>
    <w:rsid w:val="0046397D"/>
    <w:rsid w:val="00472663"/>
    <w:rsid w:val="00497FC8"/>
    <w:rsid w:val="004A11CE"/>
    <w:rsid w:val="004A616F"/>
    <w:rsid w:val="004A6A88"/>
    <w:rsid w:val="004B7B38"/>
    <w:rsid w:val="004C0D5D"/>
    <w:rsid w:val="004C5D85"/>
    <w:rsid w:val="004D017F"/>
    <w:rsid w:val="004F00BE"/>
    <w:rsid w:val="004F5326"/>
    <w:rsid w:val="005009A9"/>
    <w:rsid w:val="00501D0A"/>
    <w:rsid w:val="00502B5F"/>
    <w:rsid w:val="0051230D"/>
    <w:rsid w:val="005129C1"/>
    <w:rsid w:val="0051340A"/>
    <w:rsid w:val="00517761"/>
    <w:rsid w:val="00520902"/>
    <w:rsid w:val="00530357"/>
    <w:rsid w:val="00532CEF"/>
    <w:rsid w:val="00550E76"/>
    <w:rsid w:val="00565338"/>
    <w:rsid w:val="00566D3D"/>
    <w:rsid w:val="00576900"/>
    <w:rsid w:val="0057728A"/>
    <w:rsid w:val="00577F5C"/>
    <w:rsid w:val="0059391C"/>
    <w:rsid w:val="005966F0"/>
    <w:rsid w:val="005A2414"/>
    <w:rsid w:val="005A2D32"/>
    <w:rsid w:val="005C6933"/>
    <w:rsid w:val="005E783F"/>
    <w:rsid w:val="005F4335"/>
    <w:rsid w:val="00600080"/>
    <w:rsid w:val="00600B32"/>
    <w:rsid w:val="00603406"/>
    <w:rsid w:val="00603986"/>
    <w:rsid w:val="00624325"/>
    <w:rsid w:val="00644B30"/>
    <w:rsid w:val="00647D99"/>
    <w:rsid w:val="00651A2F"/>
    <w:rsid w:val="00653457"/>
    <w:rsid w:val="00656423"/>
    <w:rsid w:val="006734D6"/>
    <w:rsid w:val="0069352E"/>
    <w:rsid w:val="006A40EB"/>
    <w:rsid w:val="006B0F94"/>
    <w:rsid w:val="006C3BEA"/>
    <w:rsid w:val="006D322B"/>
    <w:rsid w:val="006E1F5E"/>
    <w:rsid w:val="006F34BC"/>
    <w:rsid w:val="007146A0"/>
    <w:rsid w:val="00721A5B"/>
    <w:rsid w:val="00731237"/>
    <w:rsid w:val="00740DF7"/>
    <w:rsid w:val="0074365F"/>
    <w:rsid w:val="00743D65"/>
    <w:rsid w:val="00755CAC"/>
    <w:rsid w:val="00756984"/>
    <w:rsid w:val="0076208D"/>
    <w:rsid w:val="00763D38"/>
    <w:rsid w:val="007663D0"/>
    <w:rsid w:val="0077017F"/>
    <w:rsid w:val="00770A41"/>
    <w:rsid w:val="00771088"/>
    <w:rsid w:val="007760D9"/>
    <w:rsid w:val="00777E0A"/>
    <w:rsid w:val="00780C02"/>
    <w:rsid w:val="00793338"/>
    <w:rsid w:val="007B5725"/>
    <w:rsid w:val="007B60B9"/>
    <w:rsid w:val="007C3B78"/>
    <w:rsid w:val="007D12E8"/>
    <w:rsid w:val="007D4882"/>
    <w:rsid w:val="007E0950"/>
    <w:rsid w:val="007F3D96"/>
    <w:rsid w:val="008029BE"/>
    <w:rsid w:val="008036D7"/>
    <w:rsid w:val="00807F3E"/>
    <w:rsid w:val="00834E78"/>
    <w:rsid w:val="008447F1"/>
    <w:rsid w:val="008509AE"/>
    <w:rsid w:val="00853751"/>
    <w:rsid w:val="00863193"/>
    <w:rsid w:val="00866862"/>
    <w:rsid w:val="008677BA"/>
    <w:rsid w:val="00867CA0"/>
    <w:rsid w:val="0087081D"/>
    <w:rsid w:val="00875C85"/>
    <w:rsid w:val="00882157"/>
    <w:rsid w:val="00883341"/>
    <w:rsid w:val="008850F3"/>
    <w:rsid w:val="008947BF"/>
    <w:rsid w:val="008A5F74"/>
    <w:rsid w:val="008B0448"/>
    <w:rsid w:val="008B282A"/>
    <w:rsid w:val="008B3DDC"/>
    <w:rsid w:val="008B4C65"/>
    <w:rsid w:val="008E212B"/>
    <w:rsid w:val="008E26ED"/>
    <w:rsid w:val="008E5531"/>
    <w:rsid w:val="008E6834"/>
    <w:rsid w:val="008E6885"/>
    <w:rsid w:val="008E7BF4"/>
    <w:rsid w:val="008F3E03"/>
    <w:rsid w:val="008F5FEA"/>
    <w:rsid w:val="008F7631"/>
    <w:rsid w:val="00901795"/>
    <w:rsid w:val="00940484"/>
    <w:rsid w:val="009405D8"/>
    <w:rsid w:val="00950F61"/>
    <w:rsid w:val="0095220D"/>
    <w:rsid w:val="00960C1D"/>
    <w:rsid w:val="00963959"/>
    <w:rsid w:val="00964BF4"/>
    <w:rsid w:val="009769F4"/>
    <w:rsid w:val="009812A6"/>
    <w:rsid w:val="009B366F"/>
    <w:rsid w:val="009B492A"/>
    <w:rsid w:val="009B5B5F"/>
    <w:rsid w:val="009C25FF"/>
    <w:rsid w:val="009C3187"/>
    <w:rsid w:val="009D1A33"/>
    <w:rsid w:val="009E2B3C"/>
    <w:rsid w:val="009F1270"/>
    <w:rsid w:val="00A01F6F"/>
    <w:rsid w:val="00A05DD0"/>
    <w:rsid w:val="00A16BC2"/>
    <w:rsid w:val="00A22E88"/>
    <w:rsid w:val="00A334F6"/>
    <w:rsid w:val="00A33E49"/>
    <w:rsid w:val="00A344C4"/>
    <w:rsid w:val="00A3465F"/>
    <w:rsid w:val="00A3576C"/>
    <w:rsid w:val="00A35FBB"/>
    <w:rsid w:val="00A545ED"/>
    <w:rsid w:val="00A55B33"/>
    <w:rsid w:val="00A6195F"/>
    <w:rsid w:val="00A67580"/>
    <w:rsid w:val="00A67A16"/>
    <w:rsid w:val="00A67AB8"/>
    <w:rsid w:val="00A71208"/>
    <w:rsid w:val="00A82910"/>
    <w:rsid w:val="00A8297F"/>
    <w:rsid w:val="00A91FD1"/>
    <w:rsid w:val="00AA4CBE"/>
    <w:rsid w:val="00AB6132"/>
    <w:rsid w:val="00AB61A4"/>
    <w:rsid w:val="00AB733C"/>
    <w:rsid w:val="00AC65D8"/>
    <w:rsid w:val="00AC6A35"/>
    <w:rsid w:val="00AE3889"/>
    <w:rsid w:val="00AE47A3"/>
    <w:rsid w:val="00AE6CCB"/>
    <w:rsid w:val="00AF13F4"/>
    <w:rsid w:val="00AF4BDA"/>
    <w:rsid w:val="00B1330F"/>
    <w:rsid w:val="00B43C83"/>
    <w:rsid w:val="00B463F8"/>
    <w:rsid w:val="00B602E1"/>
    <w:rsid w:val="00B63C5B"/>
    <w:rsid w:val="00B91F0E"/>
    <w:rsid w:val="00B952AE"/>
    <w:rsid w:val="00BA05AB"/>
    <w:rsid w:val="00BA5419"/>
    <w:rsid w:val="00BA5695"/>
    <w:rsid w:val="00BB23AE"/>
    <w:rsid w:val="00BC3115"/>
    <w:rsid w:val="00BC4DE7"/>
    <w:rsid w:val="00BD4C92"/>
    <w:rsid w:val="00BD5E52"/>
    <w:rsid w:val="00BD714A"/>
    <w:rsid w:val="00BE0501"/>
    <w:rsid w:val="00BE5E36"/>
    <w:rsid w:val="00C104B6"/>
    <w:rsid w:val="00C116C6"/>
    <w:rsid w:val="00C13430"/>
    <w:rsid w:val="00C14C5F"/>
    <w:rsid w:val="00C25A06"/>
    <w:rsid w:val="00C32213"/>
    <w:rsid w:val="00C350AE"/>
    <w:rsid w:val="00C37BC2"/>
    <w:rsid w:val="00C4420C"/>
    <w:rsid w:val="00C50FB1"/>
    <w:rsid w:val="00C519B0"/>
    <w:rsid w:val="00C51B41"/>
    <w:rsid w:val="00C57833"/>
    <w:rsid w:val="00C60FB8"/>
    <w:rsid w:val="00C611D7"/>
    <w:rsid w:val="00C854A4"/>
    <w:rsid w:val="00C90328"/>
    <w:rsid w:val="00C920D3"/>
    <w:rsid w:val="00CA3F33"/>
    <w:rsid w:val="00CA5899"/>
    <w:rsid w:val="00CA7792"/>
    <w:rsid w:val="00CB7354"/>
    <w:rsid w:val="00CC551C"/>
    <w:rsid w:val="00CD2E53"/>
    <w:rsid w:val="00CE1B5A"/>
    <w:rsid w:val="00CE2E1F"/>
    <w:rsid w:val="00CE624D"/>
    <w:rsid w:val="00CF2A6F"/>
    <w:rsid w:val="00CF6948"/>
    <w:rsid w:val="00D131F1"/>
    <w:rsid w:val="00D27158"/>
    <w:rsid w:val="00D33058"/>
    <w:rsid w:val="00D33BB2"/>
    <w:rsid w:val="00D364E6"/>
    <w:rsid w:val="00D37CAF"/>
    <w:rsid w:val="00D45189"/>
    <w:rsid w:val="00D5611C"/>
    <w:rsid w:val="00D578F2"/>
    <w:rsid w:val="00D60389"/>
    <w:rsid w:val="00D6319E"/>
    <w:rsid w:val="00D67531"/>
    <w:rsid w:val="00D73758"/>
    <w:rsid w:val="00D77DEB"/>
    <w:rsid w:val="00D77ED9"/>
    <w:rsid w:val="00D8104B"/>
    <w:rsid w:val="00D81A1E"/>
    <w:rsid w:val="00D83FB3"/>
    <w:rsid w:val="00D9131E"/>
    <w:rsid w:val="00D97088"/>
    <w:rsid w:val="00DA6185"/>
    <w:rsid w:val="00DB4658"/>
    <w:rsid w:val="00DC166F"/>
    <w:rsid w:val="00DC5820"/>
    <w:rsid w:val="00DD6F8D"/>
    <w:rsid w:val="00DD7059"/>
    <w:rsid w:val="00DE15B1"/>
    <w:rsid w:val="00DE4FD5"/>
    <w:rsid w:val="00DE6527"/>
    <w:rsid w:val="00DE6741"/>
    <w:rsid w:val="00DF1BB5"/>
    <w:rsid w:val="00DF38B4"/>
    <w:rsid w:val="00E03AB3"/>
    <w:rsid w:val="00E071BF"/>
    <w:rsid w:val="00E13FBF"/>
    <w:rsid w:val="00E20747"/>
    <w:rsid w:val="00E24C1B"/>
    <w:rsid w:val="00E40C57"/>
    <w:rsid w:val="00E551FE"/>
    <w:rsid w:val="00E57CC4"/>
    <w:rsid w:val="00E67F50"/>
    <w:rsid w:val="00E917E1"/>
    <w:rsid w:val="00E943D7"/>
    <w:rsid w:val="00E94F83"/>
    <w:rsid w:val="00E954F2"/>
    <w:rsid w:val="00EA7D78"/>
    <w:rsid w:val="00EB466D"/>
    <w:rsid w:val="00EB532D"/>
    <w:rsid w:val="00EC29D5"/>
    <w:rsid w:val="00EC38DC"/>
    <w:rsid w:val="00ED5A3E"/>
    <w:rsid w:val="00EE0FCB"/>
    <w:rsid w:val="00EE1F46"/>
    <w:rsid w:val="00EF2D0E"/>
    <w:rsid w:val="00EF6CA8"/>
    <w:rsid w:val="00EF7483"/>
    <w:rsid w:val="00F0366A"/>
    <w:rsid w:val="00F04B3C"/>
    <w:rsid w:val="00F06613"/>
    <w:rsid w:val="00F21732"/>
    <w:rsid w:val="00F221E2"/>
    <w:rsid w:val="00F23ECB"/>
    <w:rsid w:val="00F31E33"/>
    <w:rsid w:val="00F35EE8"/>
    <w:rsid w:val="00F44395"/>
    <w:rsid w:val="00F556E6"/>
    <w:rsid w:val="00F56167"/>
    <w:rsid w:val="00F602C9"/>
    <w:rsid w:val="00F63F20"/>
    <w:rsid w:val="00F65499"/>
    <w:rsid w:val="00F75424"/>
    <w:rsid w:val="00F80EC3"/>
    <w:rsid w:val="00F9011C"/>
    <w:rsid w:val="00F915A5"/>
    <w:rsid w:val="00F93642"/>
    <w:rsid w:val="00FA0ED9"/>
    <w:rsid w:val="00FA2F10"/>
    <w:rsid w:val="00FA6602"/>
    <w:rsid w:val="00FB3AA5"/>
    <w:rsid w:val="00FC59D2"/>
    <w:rsid w:val="00FC66F2"/>
    <w:rsid w:val="00FD3774"/>
    <w:rsid w:val="00FE186F"/>
    <w:rsid w:val="00FE42FB"/>
    <w:rsid w:val="00FF1CEE"/>
    <w:rsid w:val="00FF2E24"/>
    <w:rsid w:val="00FF399D"/>
    <w:rsid w:val="00FF6399"/>
    <w:rsid w:val="01916517"/>
    <w:rsid w:val="020D1D37"/>
    <w:rsid w:val="0B3246C5"/>
    <w:rsid w:val="0E65470A"/>
    <w:rsid w:val="0EEB0226"/>
    <w:rsid w:val="0EFB45EE"/>
    <w:rsid w:val="0F62488C"/>
    <w:rsid w:val="0FCFE845"/>
    <w:rsid w:val="10674D6C"/>
    <w:rsid w:val="16C03848"/>
    <w:rsid w:val="1BFF472A"/>
    <w:rsid w:val="1C5D7A0C"/>
    <w:rsid w:val="1C8A5424"/>
    <w:rsid w:val="1D88670A"/>
    <w:rsid w:val="1EF33124"/>
    <w:rsid w:val="1F0B4E3F"/>
    <w:rsid w:val="2CB65E3F"/>
    <w:rsid w:val="2CFFD75D"/>
    <w:rsid w:val="2EFA753D"/>
    <w:rsid w:val="2FB92AD6"/>
    <w:rsid w:val="30D23FB1"/>
    <w:rsid w:val="316D7640"/>
    <w:rsid w:val="319D6DC0"/>
    <w:rsid w:val="33FFB7BE"/>
    <w:rsid w:val="3523BE79"/>
    <w:rsid w:val="36F69676"/>
    <w:rsid w:val="37FBC457"/>
    <w:rsid w:val="37FCA743"/>
    <w:rsid w:val="39BF18AF"/>
    <w:rsid w:val="39FF78FC"/>
    <w:rsid w:val="3A3F654C"/>
    <w:rsid w:val="3AAD1508"/>
    <w:rsid w:val="3BCFEAFB"/>
    <w:rsid w:val="3CA58230"/>
    <w:rsid w:val="3CDDBFCD"/>
    <w:rsid w:val="3DEF81BF"/>
    <w:rsid w:val="3DFE727C"/>
    <w:rsid w:val="3EEF449F"/>
    <w:rsid w:val="3F0604F0"/>
    <w:rsid w:val="3FCF1DFA"/>
    <w:rsid w:val="3FFF13DD"/>
    <w:rsid w:val="41F75EF1"/>
    <w:rsid w:val="427E5E44"/>
    <w:rsid w:val="47BE528A"/>
    <w:rsid w:val="4B897A1E"/>
    <w:rsid w:val="4C2D1B26"/>
    <w:rsid w:val="4F2E12F0"/>
    <w:rsid w:val="50D07270"/>
    <w:rsid w:val="512E4EF8"/>
    <w:rsid w:val="51AA02F7"/>
    <w:rsid w:val="55D5EB8C"/>
    <w:rsid w:val="56E753BA"/>
    <w:rsid w:val="57B676F5"/>
    <w:rsid w:val="57FF40E0"/>
    <w:rsid w:val="599142E0"/>
    <w:rsid w:val="5BFC788B"/>
    <w:rsid w:val="5BFFEC01"/>
    <w:rsid w:val="5DACFDEB"/>
    <w:rsid w:val="5EC7F339"/>
    <w:rsid w:val="5F5FFE5C"/>
    <w:rsid w:val="5FF6BCF0"/>
    <w:rsid w:val="633010D3"/>
    <w:rsid w:val="64B762D7"/>
    <w:rsid w:val="664D3FDA"/>
    <w:rsid w:val="67E7B99D"/>
    <w:rsid w:val="67F6E0DE"/>
    <w:rsid w:val="67F933E9"/>
    <w:rsid w:val="68F3461D"/>
    <w:rsid w:val="69FBC2B2"/>
    <w:rsid w:val="6A0E157C"/>
    <w:rsid w:val="6B58BDFD"/>
    <w:rsid w:val="6BAF2FBE"/>
    <w:rsid w:val="6C73114A"/>
    <w:rsid w:val="6C942D01"/>
    <w:rsid w:val="6D3FEF88"/>
    <w:rsid w:val="6D69EC24"/>
    <w:rsid w:val="6F6E4362"/>
    <w:rsid w:val="72F7083B"/>
    <w:rsid w:val="73123296"/>
    <w:rsid w:val="76BDBB96"/>
    <w:rsid w:val="77BD219B"/>
    <w:rsid w:val="77CEEA11"/>
    <w:rsid w:val="7AFF0BA3"/>
    <w:rsid w:val="7B9F01AA"/>
    <w:rsid w:val="7BFDFAE6"/>
    <w:rsid w:val="7C79FCF5"/>
    <w:rsid w:val="7D667E12"/>
    <w:rsid w:val="7DDEE943"/>
    <w:rsid w:val="7DFF296C"/>
    <w:rsid w:val="7EE75F2F"/>
    <w:rsid w:val="7F5FF668"/>
    <w:rsid w:val="7F9E20F3"/>
    <w:rsid w:val="7FAD35D1"/>
    <w:rsid w:val="7FBEB0D9"/>
    <w:rsid w:val="7FF777D9"/>
    <w:rsid w:val="7FF89AE9"/>
    <w:rsid w:val="7FFBB2B0"/>
    <w:rsid w:val="8DDBD85C"/>
    <w:rsid w:val="8F5F409F"/>
    <w:rsid w:val="99F3D120"/>
    <w:rsid w:val="9FAFE2CF"/>
    <w:rsid w:val="9FFB800C"/>
    <w:rsid w:val="AA77CEF6"/>
    <w:rsid w:val="AB6A2C46"/>
    <w:rsid w:val="ABEEB903"/>
    <w:rsid w:val="AFB6EFCD"/>
    <w:rsid w:val="B1FF8569"/>
    <w:rsid w:val="B3DDEC64"/>
    <w:rsid w:val="B3E741C4"/>
    <w:rsid w:val="BD6B5BFE"/>
    <w:rsid w:val="BEDE0BB9"/>
    <w:rsid w:val="BF9F028A"/>
    <w:rsid w:val="CAFF6454"/>
    <w:rsid w:val="D70EFD2E"/>
    <w:rsid w:val="D769F55C"/>
    <w:rsid w:val="D7BD0D42"/>
    <w:rsid w:val="DDDF7422"/>
    <w:rsid w:val="DEDFA71E"/>
    <w:rsid w:val="DF740867"/>
    <w:rsid w:val="DFB3115C"/>
    <w:rsid w:val="E72F629B"/>
    <w:rsid w:val="E7575592"/>
    <w:rsid w:val="E7ABC025"/>
    <w:rsid w:val="E85B4F90"/>
    <w:rsid w:val="EBD68A9E"/>
    <w:rsid w:val="EBDFE44A"/>
    <w:rsid w:val="EDCD5FA9"/>
    <w:rsid w:val="EDDD2F87"/>
    <w:rsid w:val="EE73DC20"/>
    <w:rsid w:val="EEA77854"/>
    <w:rsid w:val="EFBD74DF"/>
    <w:rsid w:val="EFEF532C"/>
    <w:rsid w:val="F077BF7D"/>
    <w:rsid w:val="F27F2D4C"/>
    <w:rsid w:val="F49B1290"/>
    <w:rsid w:val="F6DDE7F6"/>
    <w:rsid w:val="F6FE536C"/>
    <w:rsid w:val="F79E8696"/>
    <w:rsid w:val="F7F9AC92"/>
    <w:rsid w:val="FABF4B44"/>
    <w:rsid w:val="FBE71ED7"/>
    <w:rsid w:val="FBF2F4CF"/>
    <w:rsid w:val="FCE7ED3F"/>
    <w:rsid w:val="FCF121CF"/>
    <w:rsid w:val="FD5F6112"/>
    <w:rsid w:val="FDDE0160"/>
    <w:rsid w:val="FDF4B9F2"/>
    <w:rsid w:val="FDFD14C2"/>
    <w:rsid w:val="FDFF8200"/>
    <w:rsid w:val="FEDA8898"/>
    <w:rsid w:val="FEFD88D3"/>
    <w:rsid w:val="FF6FEE16"/>
    <w:rsid w:val="FFB74B80"/>
    <w:rsid w:val="FFD70313"/>
    <w:rsid w:val="FFDF3E63"/>
    <w:rsid w:val="FFF4F3B5"/>
    <w:rsid w:val="FFF98280"/>
    <w:rsid w:val="FFFA4AA6"/>
    <w:rsid w:val="FFFB4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100" w:beforeAutospacing="1" w:after="100" w:afterAutospacing="1"/>
      <w:outlineLvl w:val="1"/>
    </w:pPr>
    <w:rPr>
      <w:rFonts w:ascii="Arial" w:hAnsi="Arial"/>
      <w:bCs/>
      <w:szCs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caption"/>
    <w:basedOn w:val="1"/>
    <w:next w:val="1"/>
    <w:qFormat/>
    <w:uiPriority w:val="0"/>
    <w:rPr>
      <w:rFonts w:ascii="Arial" w:hAnsi="Arial" w:eastAsia="黑体" w:cs="Arial"/>
      <w:sz w:val="20"/>
      <w:szCs w:val="20"/>
    </w:rPr>
  </w:style>
  <w:style w:type="paragraph" w:styleId="5">
    <w:name w:val="annotation text"/>
    <w:basedOn w:val="1"/>
    <w:qFormat/>
    <w:uiPriority w:val="0"/>
    <w:pPr>
      <w:jc w:val="left"/>
    </w:p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qFormat/>
    <w:uiPriority w:val="0"/>
  </w:style>
  <w:style w:type="character" w:styleId="12">
    <w:name w:val="Hyperlink"/>
    <w:basedOn w:val="10"/>
    <w:qFormat/>
    <w:uiPriority w:val="0"/>
    <w:rPr>
      <w:color w:val="0000FF"/>
      <w:u w:val="single"/>
    </w:rPr>
  </w:style>
  <w:style w:type="character" w:customStyle="1" w:styleId="13">
    <w:name w:val="nui-addr-email4"/>
    <w:basedOn w:val="10"/>
    <w:qFormat/>
    <w:uiPriority w:val="0"/>
  </w:style>
  <w:style w:type="character" w:customStyle="1" w:styleId="14">
    <w:name w:val="页脚 字符"/>
    <w:basedOn w:val="10"/>
    <w:link w:val="6"/>
    <w:qFormat/>
    <w:uiPriority w:val="99"/>
    <w:rPr>
      <w:kern w:val="2"/>
      <w:sz w:val="18"/>
      <w:szCs w:val="18"/>
    </w:rPr>
  </w:style>
  <w:style w:type="paragraph" w:customStyle="1" w:styleId="15">
    <w:name w:val="标准文件_章标题"/>
    <w:next w:val="16"/>
    <w:qFormat/>
    <w:uiPriority w:val="0"/>
    <w:pPr>
      <w:numPr>
        <w:ilvl w:val="1"/>
        <w:numId w:val="1"/>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6">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7">
    <w:name w:val="标准文件_文件名称"/>
    <w:basedOn w:val="16"/>
    <w:next w:val="16"/>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6843</Words>
  <Characters>7913</Characters>
  <Lines>4</Lines>
  <Paragraphs>1</Paragraphs>
  <TotalTime>4</TotalTime>
  <ScaleCrop>false</ScaleCrop>
  <LinksUpToDate>false</LinksUpToDate>
  <CharactersWithSpaces>8192</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2024-03-20T10:00:00Z</dcterms:created>
  <dc:creator>广东省中医药学会;user</dc:creator>
  <cp:lastModifiedBy>曾令烽</cp:lastModifiedBy>
  <cp:lastPrinted>2017-06-26T22:54:00Z</cp:lastPrinted>
  <dcterms:modified xsi:type="dcterms:W3CDTF">2025-03-26T02:18:06Z</dcterms:modified>
  <dc:title>标准征求意见稿意见汇总表</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D8266B4DCC02D6B7BFEFD06787FE004B_42</vt:lpwstr>
  </property>
  <property fmtid="{D5CDD505-2E9C-101B-9397-08002B2CF9AE}" pid="4" name="KSOTemplateDocerSaveRecord">
    <vt:lpwstr>eyJoZGlkIjoiYmQ3YjcxODYzNDI4ZjdjNTAzODY4YTFhZjM1NjRiZTYiLCJ1c2VySWQiOiI0NDk4MzE1MjMifQ==</vt:lpwstr>
  </property>
</Properties>
</file>